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56F7D" w14:textId="77777777" w:rsidR="00D5547E" w:rsidRPr="002C6903" w:rsidRDefault="00D5547E" w:rsidP="004A6D2F">
      <w:pPr>
        <w:rPr>
          <w:rFonts w:cs="Arial"/>
        </w:rPr>
      </w:pPr>
    </w:p>
    <w:tbl>
      <w:tblPr>
        <w:tblW w:w="0" w:type="auto"/>
        <w:tblInd w:w="108" w:type="dxa"/>
        <w:tblLayout w:type="fixed"/>
        <w:tblLook w:val="04A0" w:firstRow="1" w:lastRow="0" w:firstColumn="1" w:lastColumn="0" w:noHBand="0" w:noVBand="1"/>
      </w:tblPr>
      <w:tblGrid>
        <w:gridCol w:w="2438"/>
        <w:gridCol w:w="6406"/>
      </w:tblGrid>
      <w:tr w:rsidR="00CE544A" w:rsidRPr="002C6903" w14:paraId="68352E33" w14:textId="77777777" w:rsidTr="005F7F7E">
        <w:tc>
          <w:tcPr>
            <w:tcW w:w="2438" w:type="dxa"/>
            <w:shd w:val="clear" w:color="auto" w:fill="auto"/>
          </w:tcPr>
          <w:p w14:paraId="6142CABA" w14:textId="77777777" w:rsidR="00F445B1" w:rsidRPr="002C6903" w:rsidRDefault="00F445B1" w:rsidP="004A6D2F">
            <w:pPr>
              <w:rPr>
                <w:rStyle w:val="Firstpagetablebold"/>
                <w:rFonts w:cs="Arial"/>
              </w:rPr>
            </w:pPr>
            <w:r w:rsidRPr="002C6903">
              <w:rPr>
                <w:rStyle w:val="Firstpagetablebold"/>
                <w:rFonts w:cs="Arial"/>
              </w:rPr>
              <w:t>To</w:t>
            </w:r>
            <w:r w:rsidR="005C35A5" w:rsidRPr="002C6903">
              <w:rPr>
                <w:rStyle w:val="Firstpagetablebold"/>
                <w:rFonts w:cs="Arial"/>
              </w:rPr>
              <w:t>:</w:t>
            </w:r>
          </w:p>
        </w:tc>
        <w:tc>
          <w:tcPr>
            <w:tcW w:w="6406" w:type="dxa"/>
            <w:shd w:val="clear" w:color="auto" w:fill="auto"/>
          </w:tcPr>
          <w:p w14:paraId="5A6823E0" w14:textId="25F24C7C" w:rsidR="00F445B1" w:rsidRPr="002C6903" w:rsidRDefault="002C6903" w:rsidP="004A6D2F">
            <w:pPr>
              <w:rPr>
                <w:rStyle w:val="Firstpagetablebold"/>
                <w:rFonts w:cs="Arial"/>
              </w:rPr>
            </w:pPr>
            <w:r w:rsidRPr="002C6903">
              <w:rPr>
                <w:rStyle w:val="Firstpagetablebold"/>
                <w:rFonts w:cs="Arial"/>
              </w:rPr>
              <w:t>Finance and Performance Panel</w:t>
            </w:r>
          </w:p>
        </w:tc>
      </w:tr>
      <w:tr w:rsidR="00CE544A" w:rsidRPr="002C6903" w14:paraId="38F8FF1E" w14:textId="77777777" w:rsidTr="005F7F7E">
        <w:tc>
          <w:tcPr>
            <w:tcW w:w="2438" w:type="dxa"/>
            <w:shd w:val="clear" w:color="auto" w:fill="auto"/>
          </w:tcPr>
          <w:p w14:paraId="5B3A54F5" w14:textId="77777777" w:rsidR="00F445B1" w:rsidRPr="002C6903" w:rsidRDefault="00F445B1" w:rsidP="004A6D2F">
            <w:pPr>
              <w:rPr>
                <w:rStyle w:val="Firstpagetablebold"/>
                <w:rFonts w:cs="Arial"/>
              </w:rPr>
            </w:pPr>
            <w:r w:rsidRPr="002C6903">
              <w:rPr>
                <w:rStyle w:val="Firstpagetablebold"/>
                <w:rFonts w:cs="Arial"/>
              </w:rPr>
              <w:t>Dat</w:t>
            </w:r>
            <w:r w:rsidR="005C35A5" w:rsidRPr="002C6903">
              <w:rPr>
                <w:rStyle w:val="Firstpagetablebold"/>
                <w:rFonts w:cs="Arial"/>
              </w:rPr>
              <w:t>e:</w:t>
            </w:r>
          </w:p>
        </w:tc>
        <w:tc>
          <w:tcPr>
            <w:tcW w:w="6406" w:type="dxa"/>
            <w:shd w:val="clear" w:color="auto" w:fill="auto"/>
          </w:tcPr>
          <w:p w14:paraId="67DA3390" w14:textId="5B0B733D" w:rsidR="00F445B1" w:rsidRPr="002C6903" w:rsidRDefault="002C6903" w:rsidP="005D0621">
            <w:pPr>
              <w:rPr>
                <w:rFonts w:cs="Arial"/>
                <w:b/>
              </w:rPr>
            </w:pPr>
            <w:r w:rsidRPr="002C6903">
              <w:rPr>
                <w:rStyle w:val="Firstpagetablebold"/>
                <w:rFonts w:cs="Arial"/>
              </w:rPr>
              <w:t>06 December 2023</w:t>
            </w:r>
          </w:p>
        </w:tc>
      </w:tr>
      <w:tr w:rsidR="00CE544A" w:rsidRPr="002C6903" w14:paraId="0C5B2855" w14:textId="77777777" w:rsidTr="005F7F7E">
        <w:tc>
          <w:tcPr>
            <w:tcW w:w="2438" w:type="dxa"/>
            <w:shd w:val="clear" w:color="auto" w:fill="auto"/>
          </w:tcPr>
          <w:p w14:paraId="435FF9A4" w14:textId="77777777" w:rsidR="00F445B1" w:rsidRPr="002C6903" w:rsidRDefault="00F445B1" w:rsidP="004A6D2F">
            <w:pPr>
              <w:rPr>
                <w:rStyle w:val="Firstpagetablebold"/>
                <w:rFonts w:cs="Arial"/>
              </w:rPr>
            </w:pPr>
            <w:r w:rsidRPr="002C6903">
              <w:rPr>
                <w:rStyle w:val="Firstpagetablebold"/>
                <w:rFonts w:cs="Arial"/>
              </w:rPr>
              <w:t>Report of</w:t>
            </w:r>
            <w:r w:rsidR="005C35A5" w:rsidRPr="002C6903">
              <w:rPr>
                <w:rStyle w:val="Firstpagetablebold"/>
                <w:rFonts w:cs="Arial"/>
              </w:rPr>
              <w:t>:</w:t>
            </w:r>
          </w:p>
        </w:tc>
        <w:tc>
          <w:tcPr>
            <w:tcW w:w="6406" w:type="dxa"/>
            <w:shd w:val="clear" w:color="auto" w:fill="auto"/>
          </w:tcPr>
          <w:p w14:paraId="53F8D6F4" w14:textId="295A6615" w:rsidR="00F445B1" w:rsidRPr="002C6903" w:rsidRDefault="002C6903" w:rsidP="004A6D2F">
            <w:pPr>
              <w:rPr>
                <w:rStyle w:val="Firstpagetablebold"/>
                <w:rFonts w:cs="Arial"/>
              </w:rPr>
            </w:pPr>
            <w:r w:rsidRPr="002C6903">
              <w:rPr>
                <w:rStyle w:val="Firstpagetablebold"/>
                <w:rFonts w:cs="Arial"/>
              </w:rPr>
              <w:t>Finance Business Partner (HRA)</w:t>
            </w:r>
          </w:p>
        </w:tc>
      </w:tr>
      <w:tr w:rsidR="00CE544A" w:rsidRPr="002C6903" w14:paraId="665D7D98" w14:textId="77777777" w:rsidTr="005F7F7E">
        <w:tc>
          <w:tcPr>
            <w:tcW w:w="2438" w:type="dxa"/>
            <w:shd w:val="clear" w:color="auto" w:fill="auto"/>
          </w:tcPr>
          <w:p w14:paraId="2027089E" w14:textId="77777777" w:rsidR="00F445B1" w:rsidRPr="002C6903" w:rsidRDefault="00F445B1" w:rsidP="004A6D2F">
            <w:pPr>
              <w:rPr>
                <w:rStyle w:val="Firstpagetablebold"/>
                <w:rFonts w:cs="Arial"/>
              </w:rPr>
            </w:pPr>
            <w:r w:rsidRPr="002C6903">
              <w:rPr>
                <w:rStyle w:val="Firstpagetablebold"/>
                <w:rFonts w:cs="Arial"/>
              </w:rPr>
              <w:t xml:space="preserve">Title of Report: </w:t>
            </w:r>
          </w:p>
        </w:tc>
        <w:tc>
          <w:tcPr>
            <w:tcW w:w="6406" w:type="dxa"/>
            <w:shd w:val="clear" w:color="auto" w:fill="auto"/>
          </w:tcPr>
          <w:p w14:paraId="148250AB" w14:textId="43FA4AE5" w:rsidR="00F445B1" w:rsidRPr="002C6903" w:rsidRDefault="00597AD6" w:rsidP="004A6D2F">
            <w:pPr>
              <w:rPr>
                <w:rStyle w:val="Firstpagetablebold"/>
                <w:rFonts w:cs="Arial"/>
              </w:rPr>
            </w:pPr>
            <w:r>
              <w:rPr>
                <w:rStyle w:val="Firstpagetablebold"/>
                <w:rFonts w:cs="Arial"/>
              </w:rPr>
              <w:t>Acquisition vs Leasing of Properties and the HRA</w:t>
            </w:r>
          </w:p>
        </w:tc>
      </w:tr>
    </w:tbl>
    <w:p w14:paraId="2BA82961" w14:textId="77777777" w:rsidR="004F20EF" w:rsidRPr="002C6903" w:rsidRDefault="004F20EF" w:rsidP="004A6D2F">
      <w:pPr>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RPr="002C6903" w14:paraId="075B6BF4" w14:textId="77777777" w:rsidTr="0080749A">
        <w:tc>
          <w:tcPr>
            <w:tcW w:w="8845" w:type="dxa"/>
            <w:gridSpan w:val="3"/>
            <w:tcBorders>
              <w:bottom w:val="single" w:sz="8" w:space="0" w:color="000000"/>
            </w:tcBorders>
            <w:hideMark/>
          </w:tcPr>
          <w:p w14:paraId="6D483D0F" w14:textId="77777777" w:rsidR="00D5547E" w:rsidRPr="002C6903" w:rsidRDefault="00745BF0" w:rsidP="00745BF0">
            <w:pPr>
              <w:jc w:val="center"/>
              <w:rPr>
                <w:rStyle w:val="Firstpagetablebold"/>
                <w:rFonts w:cs="Arial"/>
              </w:rPr>
            </w:pPr>
            <w:r w:rsidRPr="002C6903">
              <w:rPr>
                <w:rStyle w:val="Firstpagetablebold"/>
                <w:rFonts w:cs="Arial"/>
              </w:rPr>
              <w:t>Summary and r</w:t>
            </w:r>
            <w:r w:rsidR="00D5547E" w:rsidRPr="002C6903">
              <w:rPr>
                <w:rStyle w:val="Firstpagetablebold"/>
                <w:rFonts w:cs="Arial"/>
              </w:rPr>
              <w:t>ecommendations</w:t>
            </w:r>
          </w:p>
        </w:tc>
      </w:tr>
      <w:tr w:rsidR="00D5547E" w:rsidRPr="002C6903" w14:paraId="79C1F1AC" w14:textId="77777777" w:rsidTr="0080749A">
        <w:tc>
          <w:tcPr>
            <w:tcW w:w="2438" w:type="dxa"/>
            <w:gridSpan w:val="2"/>
            <w:tcBorders>
              <w:top w:val="single" w:sz="8" w:space="0" w:color="000000"/>
              <w:left w:val="single" w:sz="8" w:space="0" w:color="000000"/>
              <w:bottom w:val="nil"/>
              <w:right w:val="nil"/>
            </w:tcBorders>
            <w:hideMark/>
          </w:tcPr>
          <w:p w14:paraId="59491AB9" w14:textId="77777777" w:rsidR="00D5547E" w:rsidRPr="002C6903" w:rsidRDefault="00D5547E">
            <w:pPr>
              <w:rPr>
                <w:rStyle w:val="Firstpagetablebold"/>
                <w:rFonts w:cs="Arial"/>
              </w:rPr>
            </w:pPr>
            <w:r w:rsidRPr="002C6903">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6493160E" w14:textId="24DAADC4" w:rsidR="00D5547E" w:rsidRPr="002C6903" w:rsidRDefault="002C6903" w:rsidP="00821AAF">
            <w:pPr>
              <w:rPr>
                <w:rFonts w:cs="Arial"/>
              </w:rPr>
            </w:pPr>
            <w:r w:rsidRPr="002C6903">
              <w:rPr>
                <w:rFonts w:cs="Arial"/>
              </w:rPr>
              <w:t xml:space="preserve">To brief the Finance and Performance Panel following a request made at the previous meeting on 06 September 2023. </w:t>
            </w:r>
          </w:p>
        </w:tc>
      </w:tr>
      <w:tr w:rsidR="005F7F7E" w:rsidRPr="002C6903" w14:paraId="7E6FF2D9" w14:textId="77777777" w:rsidTr="002C6903">
        <w:trPr>
          <w:trHeight w:val="413"/>
        </w:trPr>
        <w:tc>
          <w:tcPr>
            <w:tcW w:w="8845" w:type="dxa"/>
            <w:gridSpan w:val="3"/>
            <w:tcBorders>
              <w:bottom w:val="single" w:sz="8" w:space="0" w:color="000000"/>
            </w:tcBorders>
          </w:tcPr>
          <w:p w14:paraId="5BB9B55F" w14:textId="16BBE516" w:rsidR="005F7F7E" w:rsidRPr="002C6903" w:rsidRDefault="005F7F7E" w:rsidP="00821AAF">
            <w:pPr>
              <w:rPr>
                <w:rFonts w:cs="Arial"/>
              </w:rPr>
            </w:pPr>
            <w:r w:rsidRPr="002C6903">
              <w:rPr>
                <w:rStyle w:val="Firstpagetablebold"/>
                <w:rFonts w:cs="Arial"/>
              </w:rPr>
              <w:t>Recommendation(s):</w:t>
            </w:r>
            <w:r w:rsidR="002C6903" w:rsidRPr="002C6903">
              <w:rPr>
                <w:rStyle w:val="Firstpagetablebold"/>
                <w:rFonts w:cs="Arial"/>
              </w:rPr>
              <w:t xml:space="preserve"> </w:t>
            </w:r>
            <w:r w:rsidRPr="002C6903">
              <w:rPr>
                <w:rStyle w:val="Firstpagetablebold"/>
                <w:rFonts w:cs="Arial"/>
              </w:rPr>
              <w:t xml:space="preserve">That the </w:t>
            </w:r>
            <w:r w:rsidR="002C6903" w:rsidRPr="002C6903">
              <w:rPr>
                <w:rStyle w:val="Firstpagetablebold"/>
                <w:rFonts w:cs="Arial"/>
              </w:rPr>
              <w:t>Panel</w:t>
            </w:r>
            <w:r w:rsidRPr="002C6903">
              <w:rPr>
                <w:rStyle w:val="Firstpagetablebold"/>
                <w:rFonts w:cs="Arial"/>
              </w:rPr>
              <w:t xml:space="preserve"> resolves to:</w:t>
            </w:r>
          </w:p>
        </w:tc>
      </w:tr>
      <w:tr w:rsidR="0030208D" w:rsidRPr="002C6903" w14:paraId="20329AA5" w14:textId="77777777" w:rsidTr="002C6903">
        <w:trPr>
          <w:trHeight w:val="283"/>
        </w:trPr>
        <w:tc>
          <w:tcPr>
            <w:tcW w:w="426" w:type="dxa"/>
            <w:tcBorders>
              <w:top w:val="single" w:sz="8" w:space="0" w:color="000000"/>
              <w:left w:val="single" w:sz="8" w:space="0" w:color="000000"/>
              <w:bottom w:val="single" w:sz="4" w:space="0" w:color="auto"/>
              <w:right w:val="nil"/>
            </w:tcBorders>
          </w:tcPr>
          <w:p w14:paraId="27C459E8" w14:textId="77777777" w:rsidR="0030208D" w:rsidRPr="002C6903" w:rsidRDefault="00046D2B" w:rsidP="004A6D2F">
            <w:pPr>
              <w:rPr>
                <w:rFonts w:cs="Arial"/>
              </w:rPr>
            </w:pPr>
            <w:r w:rsidRPr="002C6903">
              <w:rPr>
                <w:rFonts w:cs="Arial"/>
              </w:rPr>
              <w:t>1.</w:t>
            </w:r>
          </w:p>
        </w:tc>
        <w:tc>
          <w:tcPr>
            <w:tcW w:w="8419" w:type="dxa"/>
            <w:gridSpan w:val="2"/>
            <w:tcBorders>
              <w:top w:val="single" w:sz="8" w:space="0" w:color="000000"/>
              <w:left w:val="nil"/>
              <w:bottom w:val="single" w:sz="4" w:space="0" w:color="auto"/>
              <w:right w:val="single" w:sz="8" w:space="0" w:color="000000"/>
            </w:tcBorders>
            <w:shd w:val="clear" w:color="auto" w:fill="auto"/>
          </w:tcPr>
          <w:p w14:paraId="32B9E27D" w14:textId="40889A70" w:rsidR="0030208D" w:rsidRPr="002C6903" w:rsidRDefault="002C6903" w:rsidP="002069B3">
            <w:pPr>
              <w:rPr>
                <w:rFonts w:cs="Arial"/>
              </w:rPr>
            </w:pPr>
            <w:r w:rsidRPr="002C6903">
              <w:rPr>
                <w:rStyle w:val="Firstpagetablebold"/>
                <w:rFonts w:cs="Arial"/>
              </w:rPr>
              <w:t>Note and comment on</w:t>
            </w:r>
            <w:r w:rsidR="0030208D" w:rsidRPr="002C6903">
              <w:rPr>
                <w:rFonts w:cs="Arial"/>
              </w:rPr>
              <w:t xml:space="preserve"> </w:t>
            </w:r>
            <w:r w:rsidRPr="002C6903">
              <w:rPr>
                <w:rFonts w:cs="Arial"/>
              </w:rPr>
              <w:t>the contents of the report.</w:t>
            </w:r>
            <w:r w:rsidR="0030208D" w:rsidRPr="002C6903">
              <w:rPr>
                <w:rFonts w:cs="Arial"/>
              </w:rPr>
              <w:t xml:space="preserve"> </w:t>
            </w:r>
          </w:p>
        </w:tc>
      </w:tr>
    </w:tbl>
    <w:p w14:paraId="6D7437A6" w14:textId="77777777" w:rsidR="00CE544A" w:rsidRPr="002C6903" w:rsidRDefault="00CE544A" w:rsidP="004A6D2F">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2C6903" w14:paraId="5A8A382A" w14:textId="77777777" w:rsidTr="002C6903">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1E87CB2D" w14:textId="77777777" w:rsidR="00966D42" w:rsidRPr="002C6903" w:rsidRDefault="00966D42" w:rsidP="00263EA3">
            <w:pPr>
              <w:jc w:val="center"/>
              <w:rPr>
                <w:rFonts w:cs="Arial"/>
              </w:rPr>
            </w:pPr>
            <w:r w:rsidRPr="002C6903">
              <w:rPr>
                <w:rStyle w:val="Firstpagetablebold"/>
                <w:rFonts w:cs="Arial"/>
              </w:rPr>
              <w:t>Appendices</w:t>
            </w:r>
          </w:p>
        </w:tc>
      </w:tr>
      <w:tr w:rsidR="00ED5860" w:rsidRPr="002C6903" w14:paraId="7624BB97" w14:textId="77777777" w:rsidTr="002C6903">
        <w:tc>
          <w:tcPr>
            <w:tcW w:w="2438" w:type="dxa"/>
            <w:tcBorders>
              <w:top w:val="single" w:sz="8" w:space="0" w:color="000000"/>
              <w:left w:val="single" w:sz="8" w:space="0" w:color="000000"/>
              <w:bottom w:val="single" w:sz="4" w:space="0" w:color="auto"/>
              <w:right w:val="nil"/>
            </w:tcBorders>
            <w:shd w:val="clear" w:color="auto" w:fill="auto"/>
          </w:tcPr>
          <w:p w14:paraId="039993A7" w14:textId="77777777" w:rsidR="00ED5860" w:rsidRPr="002C6903" w:rsidRDefault="00ED5860" w:rsidP="004A6D2F">
            <w:pPr>
              <w:rPr>
                <w:rFonts w:cs="Arial"/>
              </w:rPr>
            </w:pPr>
            <w:r w:rsidRPr="002C6903">
              <w:rPr>
                <w:rFonts w:cs="Arial"/>
              </w:rPr>
              <w:t>Appendix 1</w:t>
            </w:r>
          </w:p>
        </w:tc>
        <w:tc>
          <w:tcPr>
            <w:tcW w:w="6406" w:type="dxa"/>
            <w:tcBorders>
              <w:top w:val="single" w:sz="8" w:space="0" w:color="000000"/>
              <w:left w:val="nil"/>
              <w:bottom w:val="single" w:sz="4" w:space="0" w:color="auto"/>
              <w:right w:val="single" w:sz="8" w:space="0" w:color="000000"/>
            </w:tcBorders>
          </w:tcPr>
          <w:p w14:paraId="35C232D4" w14:textId="7E16F6F4" w:rsidR="00ED5860" w:rsidRPr="002C6903" w:rsidRDefault="002C6903" w:rsidP="004A6D2F">
            <w:pPr>
              <w:rPr>
                <w:rFonts w:cs="Arial"/>
              </w:rPr>
            </w:pPr>
            <w:r w:rsidRPr="002C6903">
              <w:rPr>
                <w:rFonts w:cs="Arial"/>
              </w:rPr>
              <w:t>Extracts from the relevant Housing Acts</w:t>
            </w:r>
          </w:p>
        </w:tc>
      </w:tr>
    </w:tbl>
    <w:p w14:paraId="5455964B" w14:textId="77777777" w:rsidR="0040736F" w:rsidRPr="002C6903" w:rsidRDefault="00F66DCA" w:rsidP="004A6D2F">
      <w:pPr>
        <w:pStyle w:val="Heading1"/>
        <w:rPr>
          <w:rFonts w:cs="Arial"/>
        </w:rPr>
      </w:pPr>
      <w:r w:rsidRPr="002C6903">
        <w:rPr>
          <w:rFonts w:cs="Arial"/>
        </w:rPr>
        <w:t>Introduction and b</w:t>
      </w:r>
      <w:r w:rsidR="00151888" w:rsidRPr="002C6903">
        <w:rPr>
          <w:rFonts w:cs="Arial"/>
        </w:rPr>
        <w:t>ackground</w:t>
      </w:r>
      <w:r w:rsidR="00404032" w:rsidRPr="002C6903">
        <w:rPr>
          <w:rFonts w:cs="Arial"/>
        </w:rPr>
        <w:t xml:space="preserve"> </w:t>
      </w:r>
    </w:p>
    <w:p w14:paraId="7273A51E" w14:textId="75A3B81A" w:rsidR="00E87F7A" w:rsidRPr="002C6903" w:rsidRDefault="002C6903" w:rsidP="002C6903">
      <w:pPr>
        <w:pStyle w:val="ListParagraph"/>
        <w:jc w:val="both"/>
        <w:rPr>
          <w:rFonts w:cs="Arial"/>
        </w:rPr>
      </w:pPr>
      <w:r w:rsidRPr="002C6903">
        <w:rPr>
          <w:rFonts w:cs="Arial"/>
        </w:rPr>
        <w:t>At its previous meeting on 06 September 2023, the Finance and Performance Panel requested a briefing: “</w:t>
      </w:r>
      <w:r w:rsidRPr="002C6903">
        <w:rPr>
          <w:rFonts w:cs="Arial"/>
          <w:i/>
          <w:iCs/>
        </w:rPr>
        <w:t>In relation to the choice between acquisition and leasing of properties, where the Council purchased a property outright there were sometimes implications as to whether or not the property could sit in the Housing Revenue Account (HRA).”</w:t>
      </w:r>
    </w:p>
    <w:p w14:paraId="599262FD" w14:textId="03D8F8BF" w:rsidR="00633578" w:rsidRPr="002C6903" w:rsidRDefault="002C6903" w:rsidP="00E87F7A">
      <w:pPr>
        <w:pStyle w:val="Heading1"/>
        <w:rPr>
          <w:rFonts w:cs="Arial"/>
        </w:rPr>
      </w:pPr>
      <w:r w:rsidRPr="002C6903">
        <w:rPr>
          <w:rFonts w:cs="Arial"/>
        </w:rPr>
        <w:t>Summary</w:t>
      </w:r>
    </w:p>
    <w:p w14:paraId="08B9B0F6" w14:textId="1F9ACECD" w:rsidR="002C6903" w:rsidRPr="002C6903" w:rsidRDefault="002C6903" w:rsidP="000244DE">
      <w:pPr>
        <w:pStyle w:val="ListParagraph"/>
        <w:jc w:val="both"/>
        <w:rPr>
          <w:rFonts w:cs="Arial"/>
        </w:rPr>
      </w:pPr>
      <w:r w:rsidRPr="002C6903">
        <w:rPr>
          <w:rFonts w:cs="Arial"/>
        </w:rPr>
        <w:t>In respect of acquisition of homes for Temporary Accommodation (TA) the options available are:</w:t>
      </w:r>
    </w:p>
    <w:p w14:paraId="74427E05" w14:textId="4C26049C" w:rsidR="002C6903" w:rsidRPr="002C6903" w:rsidRDefault="002C6903" w:rsidP="000244DE">
      <w:pPr>
        <w:pStyle w:val="ListParagraph"/>
        <w:numPr>
          <w:ilvl w:val="0"/>
          <w:numId w:val="35"/>
        </w:numPr>
        <w:jc w:val="both"/>
        <w:rPr>
          <w:rFonts w:cs="Arial"/>
        </w:rPr>
      </w:pPr>
      <w:r w:rsidRPr="002C6903">
        <w:rPr>
          <w:rFonts w:cs="Arial"/>
        </w:rPr>
        <w:t xml:space="preserve">Purchase of property for TA use using General Fund (GF) </w:t>
      </w:r>
      <w:proofErr w:type="gramStart"/>
      <w:r w:rsidRPr="002C6903">
        <w:rPr>
          <w:rFonts w:cs="Arial"/>
        </w:rPr>
        <w:t>resources, and</w:t>
      </w:r>
      <w:proofErr w:type="gramEnd"/>
      <w:r w:rsidRPr="002C6903">
        <w:rPr>
          <w:rFonts w:cs="Arial"/>
        </w:rPr>
        <w:t xml:space="preserve"> kept / maintained in the GF.</w:t>
      </w:r>
    </w:p>
    <w:p w14:paraId="35E97576" w14:textId="698BB254" w:rsidR="002C6903" w:rsidRPr="002C6903" w:rsidRDefault="002C6903" w:rsidP="000244DE">
      <w:pPr>
        <w:pStyle w:val="ListParagraph"/>
        <w:numPr>
          <w:ilvl w:val="0"/>
          <w:numId w:val="35"/>
        </w:numPr>
        <w:jc w:val="both"/>
        <w:rPr>
          <w:rFonts w:cs="Arial"/>
        </w:rPr>
      </w:pPr>
      <w:r w:rsidRPr="002C6903">
        <w:rPr>
          <w:rFonts w:cs="Arial"/>
        </w:rPr>
        <w:t xml:space="preserve">Purchase of property for TA use using Housing Revenue Account (HRA) </w:t>
      </w:r>
      <w:proofErr w:type="gramStart"/>
      <w:r w:rsidRPr="002C6903">
        <w:rPr>
          <w:rFonts w:cs="Arial"/>
        </w:rPr>
        <w:t>resources, and</w:t>
      </w:r>
      <w:proofErr w:type="gramEnd"/>
      <w:r w:rsidRPr="002C6903">
        <w:rPr>
          <w:rFonts w:cs="Arial"/>
        </w:rPr>
        <w:t xml:space="preserve"> kept / maintained in the HRA.</w:t>
      </w:r>
    </w:p>
    <w:p w14:paraId="584BFC38" w14:textId="2F4542AB" w:rsidR="002C6903" w:rsidRPr="002C6903" w:rsidRDefault="002C6903" w:rsidP="000244DE">
      <w:pPr>
        <w:pStyle w:val="ListParagraph"/>
        <w:numPr>
          <w:ilvl w:val="0"/>
          <w:numId w:val="35"/>
        </w:numPr>
        <w:jc w:val="both"/>
        <w:rPr>
          <w:rFonts w:cs="Arial"/>
        </w:rPr>
      </w:pPr>
      <w:r w:rsidRPr="002C6903">
        <w:rPr>
          <w:rFonts w:cs="Arial"/>
        </w:rPr>
        <w:t>Lease properties for TA use. This would need to be resourced through the General Fund as accommodation leased to the Council for a period of 10 years or less cannot be included in the HRA.</w:t>
      </w:r>
    </w:p>
    <w:p w14:paraId="10FC53C9" w14:textId="77777777" w:rsidR="002C6903" w:rsidRPr="002C6903" w:rsidRDefault="002C6903" w:rsidP="002C6903">
      <w:pPr>
        <w:pStyle w:val="ListParagraph"/>
        <w:numPr>
          <w:ilvl w:val="0"/>
          <w:numId w:val="0"/>
        </w:numPr>
        <w:ind w:left="426"/>
        <w:rPr>
          <w:rFonts w:cs="Arial"/>
        </w:rPr>
      </w:pPr>
    </w:p>
    <w:p w14:paraId="570C9C5B" w14:textId="77777777" w:rsidR="00597AD6" w:rsidRDefault="00597AD6" w:rsidP="00E87F7A">
      <w:pPr>
        <w:spacing w:before="240"/>
        <w:outlineLvl w:val="0"/>
        <w:rPr>
          <w:rFonts w:cs="Arial"/>
          <w:b/>
        </w:rPr>
      </w:pPr>
    </w:p>
    <w:p w14:paraId="22051873" w14:textId="7417FB32" w:rsidR="00E87F7A" w:rsidRPr="002C6903" w:rsidRDefault="002C6903" w:rsidP="00E87F7A">
      <w:pPr>
        <w:spacing w:before="240"/>
        <w:outlineLvl w:val="0"/>
        <w:rPr>
          <w:rFonts w:cs="Arial"/>
          <w:b/>
        </w:rPr>
      </w:pPr>
      <w:r w:rsidRPr="002C6903">
        <w:rPr>
          <w:rFonts w:cs="Arial"/>
          <w:b/>
        </w:rPr>
        <w:lastRenderedPageBreak/>
        <w:t>Legislation</w:t>
      </w:r>
    </w:p>
    <w:p w14:paraId="1095420B" w14:textId="5AD3704F" w:rsidR="002C6903" w:rsidRPr="002C6903" w:rsidRDefault="002C6903" w:rsidP="000244DE">
      <w:pPr>
        <w:pStyle w:val="ListParagraph"/>
        <w:jc w:val="both"/>
        <w:rPr>
          <w:rFonts w:cs="Arial"/>
        </w:rPr>
      </w:pPr>
      <w:r w:rsidRPr="002C6903">
        <w:rPr>
          <w:rFonts w:cs="Arial"/>
        </w:rPr>
        <w:t>A Council's duties in respect of homelessness fall outside the scope of the Housing Revenue Account (HRA) as they are provided for under Part VII of the Housing Act 1996 (the 1996 Act) rather than Part II of the Housing Act 1985 (the 1985 Act).  Therefore, any homeless administration services must be funded out of the General Fund.</w:t>
      </w:r>
    </w:p>
    <w:p w14:paraId="5AD36AAD" w14:textId="77777777" w:rsidR="002C6903" w:rsidRPr="002C6903" w:rsidRDefault="002C6903" w:rsidP="000244DE">
      <w:pPr>
        <w:pStyle w:val="ListParagraph"/>
        <w:jc w:val="both"/>
        <w:rPr>
          <w:rFonts w:cs="Arial"/>
        </w:rPr>
      </w:pPr>
      <w:r w:rsidRPr="002C6903">
        <w:rPr>
          <w:rFonts w:cs="Arial"/>
        </w:rPr>
        <w:t>However, Section 9 of the 1985 Act gives Councils the power to provide housing accommodation by erecting or acquiring houses (and "houses" for these purposes includes lodging-houses and hostels).  This could include erecting or acquiring houses to be used for temporary accommodation.  Any such temporary accommodation erected or acquired using the Section 9 power would need to be accounted for within the HRA by virtue of Section 74(1) of the Local Government and Housing Act 1989 (the 1989 Act), unless the accommodation was leased to the Council for a period of 10 years or less (in which case the Housing Revenue Account (Exclusion of Leases) Direction 1997 excludes these dwellings from the HRA: see also Homelessness etc.).</w:t>
      </w:r>
    </w:p>
    <w:p w14:paraId="1E52D5F7" w14:textId="77777777" w:rsidR="002C6903" w:rsidRPr="002C6903" w:rsidRDefault="002C6903" w:rsidP="000244DE">
      <w:pPr>
        <w:pStyle w:val="ListParagraph"/>
        <w:jc w:val="both"/>
        <w:rPr>
          <w:rFonts w:cs="Arial"/>
        </w:rPr>
      </w:pPr>
      <w:r w:rsidRPr="002C6903">
        <w:rPr>
          <w:rFonts w:cs="Arial"/>
        </w:rPr>
        <w:t>The construction or purchase of such accommodation could therefore be paid for from HRA surpluses and, further, in accordance with Part II, Schedule 4 to the 1989 Act, the repair, maintenance, supervision and management of temporary accommodation erected or acquired under the Section 9 power (which could include any accommodation already erected or acquired under this power) should also be debited from the HRA (together with any other items to be debited from the HRA pursuant to Part II).</w:t>
      </w:r>
    </w:p>
    <w:p w14:paraId="7BE1A7DA" w14:textId="2800BC2F" w:rsidR="002C6903" w:rsidRDefault="002C6903" w:rsidP="000244DE">
      <w:pPr>
        <w:pStyle w:val="ListParagraph"/>
        <w:jc w:val="both"/>
        <w:rPr>
          <w:rFonts w:cs="Arial"/>
        </w:rPr>
      </w:pPr>
      <w:r w:rsidRPr="002C6903">
        <w:rPr>
          <w:rFonts w:cs="Arial"/>
        </w:rPr>
        <w:t>In basic terms, therefore, it is possible (using a Council's Section 9 power) for the 'bricks and mortar' of the temporary accommodation to be paid for from HRA surpluses and thereafter for the repair and maintenance of that accommodation to be paid for from the HRA.  However, any services provided pursuant to a Council's homelessness duties under the 1996 Act must be accounted for out of the General Fund.</w:t>
      </w:r>
    </w:p>
    <w:p w14:paraId="3F401950" w14:textId="6FDF7E84" w:rsidR="007C4813" w:rsidRDefault="007C4813" w:rsidP="007C4813">
      <w:pPr>
        <w:rPr>
          <w:rFonts w:cs="Arial"/>
        </w:rPr>
      </w:pPr>
    </w:p>
    <w:p w14:paraId="6C057FB1" w14:textId="0D522996" w:rsidR="007C4813" w:rsidRPr="007C4813" w:rsidRDefault="00FB488D" w:rsidP="007C4813">
      <w:pPr>
        <w:rPr>
          <w:rFonts w:cs="Arial"/>
          <w:b/>
          <w:bCs/>
        </w:rPr>
      </w:pPr>
      <w:r>
        <w:rPr>
          <w:rFonts w:cs="Arial"/>
          <w:b/>
          <w:bCs/>
        </w:rPr>
        <w:t>Financial Implications</w:t>
      </w:r>
      <w:r w:rsidR="007C4813" w:rsidRPr="007C4813">
        <w:rPr>
          <w:rFonts w:cs="Arial"/>
          <w:b/>
          <w:bCs/>
        </w:rPr>
        <w:t xml:space="preserve"> of Purchasing </w:t>
      </w:r>
      <w:r>
        <w:rPr>
          <w:rFonts w:cs="Arial"/>
          <w:b/>
          <w:bCs/>
        </w:rPr>
        <w:t>or</w:t>
      </w:r>
      <w:r w:rsidR="007C4813" w:rsidRPr="007C4813">
        <w:rPr>
          <w:rFonts w:cs="Arial"/>
          <w:b/>
          <w:bCs/>
        </w:rPr>
        <w:t xml:space="preserve"> Leasing</w:t>
      </w:r>
      <w:r w:rsidR="007C4813">
        <w:rPr>
          <w:rFonts w:cs="Arial"/>
          <w:b/>
          <w:bCs/>
        </w:rPr>
        <w:t xml:space="preserve"> Temporary Accommodation</w:t>
      </w:r>
    </w:p>
    <w:p w14:paraId="12741E70" w14:textId="77777777" w:rsidR="00FB488D" w:rsidRDefault="007C4813" w:rsidP="000244DE">
      <w:pPr>
        <w:pStyle w:val="ListParagraph"/>
        <w:jc w:val="both"/>
      </w:pPr>
      <w:r>
        <w:t>The purchase of</w:t>
      </w:r>
      <w:r w:rsidR="00FB488D">
        <w:t xml:space="preserve"> Temporary Accommodation by the General Fund:</w:t>
      </w:r>
    </w:p>
    <w:p w14:paraId="1019925F" w14:textId="4A77A365" w:rsidR="00FB488D" w:rsidRDefault="00FB488D" w:rsidP="000244DE">
      <w:pPr>
        <w:pStyle w:val="ListParagraph"/>
        <w:numPr>
          <w:ilvl w:val="1"/>
          <w:numId w:val="14"/>
        </w:numPr>
        <w:jc w:val="both"/>
      </w:pPr>
      <w:r>
        <w:t xml:space="preserve">Longer Term </w:t>
      </w:r>
      <w:r w:rsidR="000D604A">
        <w:t xml:space="preserve">Financial </w:t>
      </w:r>
      <w:r>
        <w:t>Commitment with potential borrowing costs if not possible to fund from existing reserves</w:t>
      </w:r>
      <w:r w:rsidR="000D542A">
        <w:t>, resulting in</w:t>
      </w:r>
      <w:r>
        <w:t>:</w:t>
      </w:r>
    </w:p>
    <w:p w14:paraId="5C23E15D" w14:textId="7D0A4BBA" w:rsidR="00FB488D" w:rsidRDefault="00FB488D" w:rsidP="000244DE">
      <w:pPr>
        <w:pStyle w:val="ListParagraph"/>
        <w:numPr>
          <w:ilvl w:val="2"/>
          <w:numId w:val="14"/>
        </w:numPr>
        <w:jc w:val="both"/>
      </w:pPr>
      <w:r>
        <w:t>Loan Interest (currently circa 5%</w:t>
      </w:r>
      <w:r w:rsidR="00C72F68">
        <w:t xml:space="preserve"> on amount borrowed</w:t>
      </w:r>
      <w:r>
        <w:t>)</w:t>
      </w:r>
    </w:p>
    <w:p w14:paraId="5145D3A3" w14:textId="0F0828AB" w:rsidR="007C4813" w:rsidRDefault="00FB488D" w:rsidP="000244DE">
      <w:pPr>
        <w:pStyle w:val="ListParagraph"/>
        <w:numPr>
          <w:ilvl w:val="2"/>
          <w:numId w:val="14"/>
        </w:numPr>
        <w:jc w:val="both"/>
      </w:pPr>
      <w:r>
        <w:t xml:space="preserve">Minimum Revenue Provision (MRP) </w:t>
      </w:r>
      <w:r w:rsidR="00C72F68">
        <w:t>(minimum 2% of amount borrowed)</w:t>
      </w:r>
    </w:p>
    <w:p w14:paraId="470CD29B" w14:textId="78601D61" w:rsidR="00C72F68" w:rsidRDefault="00C72F68" w:rsidP="000244DE">
      <w:pPr>
        <w:pStyle w:val="ListParagraph"/>
        <w:numPr>
          <w:ilvl w:val="1"/>
          <w:numId w:val="14"/>
        </w:numPr>
        <w:jc w:val="both"/>
      </w:pPr>
      <w:r>
        <w:t>Value of the asset is held in the General Fund at fair value and can be sold with no restrictions when no longer needed. Potentially an appreciating asset.</w:t>
      </w:r>
    </w:p>
    <w:p w14:paraId="1A540927" w14:textId="290DEAA6" w:rsidR="000D542A" w:rsidRDefault="000D542A" w:rsidP="000244DE">
      <w:pPr>
        <w:pStyle w:val="ListParagraph"/>
        <w:numPr>
          <w:ilvl w:val="1"/>
          <w:numId w:val="14"/>
        </w:numPr>
        <w:jc w:val="both"/>
      </w:pPr>
      <w:r>
        <w:t>Any income received (</w:t>
      </w:r>
      <w:proofErr w:type="gramStart"/>
      <w:r>
        <w:t>e</w:t>
      </w:r>
      <w:r w:rsidR="000244DE">
        <w:t>.</w:t>
      </w:r>
      <w:r>
        <w:t>g</w:t>
      </w:r>
      <w:r w:rsidR="000244DE">
        <w:t>.</w:t>
      </w:r>
      <w:proofErr w:type="gramEnd"/>
      <w:r>
        <w:t xml:space="preserve"> Housing Benefit) would be credited to the General Fund.</w:t>
      </w:r>
    </w:p>
    <w:p w14:paraId="19C0DD84" w14:textId="1CA9AA06" w:rsidR="00C72F68" w:rsidRDefault="00C72F68" w:rsidP="000244DE">
      <w:pPr>
        <w:pStyle w:val="ListParagraph"/>
        <w:jc w:val="both"/>
      </w:pPr>
      <w:r>
        <w:t>The purchase of Temporary Accommodation by the H</w:t>
      </w:r>
      <w:r w:rsidR="000244DE">
        <w:t xml:space="preserve">ousing </w:t>
      </w:r>
      <w:r>
        <w:t>R</w:t>
      </w:r>
      <w:r w:rsidR="000244DE">
        <w:t xml:space="preserve">evenue </w:t>
      </w:r>
      <w:r>
        <w:t>A</w:t>
      </w:r>
      <w:r w:rsidR="000244DE">
        <w:t>ccount (HRA)</w:t>
      </w:r>
      <w:r>
        <w:t>:</w:t>
      </w:r>
    </w:p>
    <w:p w14:paraId="515A641E" w14:textId="29FC3D41" w:rsidR="00C72F68" w:rsidRDefault="00C72F68" w:rsidP="000244DE">
      <w:pPr>
        <w:pStyle w:val="ListParagraph"/>
        <w:numPr>
          <w:ilvl w:val="1"/>
          <w:numId w:val="14"/>
        </w:numPr>
        <w:jc w:val="both"/>
      </w:pPr>
      <w:r>
        <w:t xml:space="preserve">Longer Term </w:t>
      </w:r>
      <w:r w:rsidR="000D604A">
        <w:t xml:space="preserve">Financial </w:t>
      </w:r>
      <w:r>
        <w:t xml:space="preserve">Commitment </w:t>
      </w:r>
      <w:r w:rsidR="000D542A">
        <w:t>with an increase in overall HRA debt, leading to</w:t>
      </w:r>
      <w:r>
        <w:t>:</w:t>
      </w:r>
    </w:p>
    <w:p w14:paraId="13BFC1B8" w14:textId="53CE05B4" w:rsidR="00C72F68" w:rsidRDefault="00C72F68" w:rsidP="000244DE">
      <w:pPr>
        <w:pStyle w:val="ListParagraph"/>
        <w:numPr>
          <w:ilvl w:val="2"/>
          <w:numId w:val="14"/>
        </w:numPr>
        <w:jc w:val="both"/>
      </w:pPr>
      <w:r>
        <w:t>Loan Interest (currently circa 4.6% (HRA rate) on amount borrowed)</w:t>
      </w:r>
    </w:p>
    <w:p w14:paraId="3E777C1F" w14:textId="4CC899DF" w:rsidR="00C72F68" w:rsidRDefault="00C72F68" w:rsidP="000244DE">
      <w:pPr>
        <w:pStyle w:val="ListParagraph"/>
        <w:numPr>
          <w:ilvl w:val="2"/>
          <w:numId w:val="14"/>
        </w:numPr>
        <w:jc w:val="both"/>
      </w:pPr>
      <w:r>
        <w:lastRenderedPageBreak/>
        <w:t>No MRP in the HRA</w:t>
      </w:r>
    </w:p>
    <w:p w14:paraId="08E187A8" w14:textId="0DA78C28" w:rsidR="00C72F68" w:rsidRDefault="00C72F68" w:rsidP="000244DE">
      <w:pPr>
        <w:pStyle w:val="ListParagraph"/>
        <w:numPr>
          <w:ilvl w:val="1"/>
          <w:numId w:val="14"/>
        </w:numPr>
        <w:jc w:val="both"/>
      </w:pPr>
      <w:r>
        <w:t xml:space="preserve">Value of the asset is held at Social Housing Value (Approx 40% of </w:t>
      </w:r>
      <w:r w:rsidR="00251E02">
        <w:t xml:space="preserve">Open </w:t>
      </w:r>
      <w:r>
        <w:t xml:space="preserve">Market Value) in the HRA </w:t>
      </w:r>
      <w:r w:rsidR="000D542A">
        <w:t xml:space="preserve">with restrictions on the sale and sales value of the asset. The asset would most likely be moved to General Needs Social </w:t>
      </w:r>
      <w:r w:rsidR="000244DE">
        <w:t>H</w:t>
      </w:r>
      <w:r w:rsidR="000D542A">
        <w:t xml:space="preserve">ousing </w:t>
      </w:r>
      <w:r w:rsidR="00251E02">
        <w:t xml:space="preserve">when no longer required </w:t>
      </w:r>
      <w:r w:rsidR="000D542A">
        <w:t>rather than sold</w:t>
      </w:r>
      <w:r w:rsidR="00251E02">
        <w:t xml:space="preserve"> on the open market</w:t>
      </w:r>
      <w:r w:rsidR="000D542A">
        <w:t>.</w:t>
      </w:r>
    </w:p>
    <w:p w14:paraId="79496465" w14:textId="6FB88277" w:rsidR="00C72F68" w:rsidRDefault="000D542A" w:rsidP="000244DE">
      <w:pPr>
        <w:pStyle w:val="ListParagraph"/>
        <w:numPr>
          <w:ilvl w:val="1"/>
          <w:numId w:val="14"/>
        </w:numPr>
        <w:jc w:val="both"/>
      </w:pPr>
      <w:r>
        <w:t xml:space="preserve">The </w:t>
      </w:r>
      <w:r w:rsidR="000D604A">
        <w:t xml:space="preserve">rental income (at Social Rent rates) </w:t>
      </w:r>
      <w:r>
        <w:t xml:space="preserve">would be </w:t>
      </w:r>
      <w:r w:rsidR="000D604A">
        <w:t>credited to the HRA</w:t>
      </w:r>
      <w:r w:rsidR="000244DE">
        <w:t>.</w:t>
      </w:r>
    </w:p>
    <w:p w14:paraId="5E247D96" w14:textId="55FA6C7D" w:rsidR="000D604A" w:rsidRDefault="000D604A" w:rsidP="000244DE">
      <w:pPr>
        <w:pStyle w:val="ListParagraph"/>
        <w:jc w:val="both"/>
      </w:pPr>
      <w:r>
        <w:t>The lease of Accommodation for use as Temporary Accommodation would have to be via the General Fund as the HRA cannot include properties leased for periods of less than 10 years.</w:t>
      </w:r>
    </w:p>
    <w:p w14:paraId="0320DF57" w14:textId="14720851" w:rsidR="000D604A" w:rsidRDefault="000D604A" w:rsidP="000244DE">
      <w:pPr>
        <w:pStyle w:val="ListParagraph"/>
        <w:numPr>
          <w:ilvl w:val="1"/>
          <w:numId w:val="14"/>
        </w:numPr>
        <w:jc w:val="both"/>
      </w:pPr>
      <w:r>
        <w:t>Shorter term financial commitment with direct revenue cost implications for the lease costs</w:t>
      </w:r>
      <w:r w:rsidR="000244DE">
        <w:t>.</w:t>
      </w:r>
    </w:p>
    <w:p w14:paraId="7648AF6D" w14:textId="63E0F137" w:rsidR="000D604A" w:rsidRDefault="000D604A" w:rsidP="000244DE">
      <w:pPr>
        <w:pStyle w:val="ListParagraph"/>
        <w:numPr>
          <w:ilvl w:val="1"/>
          <w:numId w:val="14"/>
        </w:numPr>
        <w:jc w:val="both"/>
      </w:pPr>
      <w:r>
        <w:t xml:space="preserve">If </w:t>
      </w:r>
      <w:r w:rsidR="00251E02">
        <w:t xml:space="preserve">the </w:t>
      </w:r>
      <w:r>
        <w:t xml:space="preserve">lease is more than 12 months then there is an </w:t>
      </w:r>
      <w:r w:rsidR="00251E02">
        <w:t xml:space="preserve">accounting </w:t>
      </w:r>
      <w:r>
        <w:t xml:space="preserve">obligation to include </w:t>
      </w:r>
      <w:r w:rsidR="00251E02">
        <w:t>a</w:t>
      </w:r>
      <w:r>
        <w:t xml:space="preserve"> value of the lease</w:t>
      </w:r>
      <w:r w:rsidR="00251E02">
        <w:t xml:space="preserve"> for the property</w:t>
      </w:r>
      <w:r>
        <w:t xml:space="preserve"> in the General Fund balance sheet, as well as the liability of the remaining lease payments. </w:t>
      </w:r>
      <w:r w:rsidR="00251E02">
        <w:t>This could potentially have a negative impact on the balance sheet if the leased properties were no</w:t>
      </w:r>
      <w:r w:rsidR="0049122F">
        <w:t xml:space="preserve"> longer</w:t>
      </w:r>
      <w:r w:rsidR="00251E02">
        <w:t xml:space="preserve"> being used due to the financial </w:t>
      </w:r>
      <w:r>
        <w:t>commitment until the end of the lease period.</w:t>
      </w:r>
    </w:p>
    <w:p w14:paraId="0B7F83FE" w14:textId="4D5E6501" w:rsidR="000D604A" w:rsidRPr="007C4813" w:rsidRDefault="000D604A" w:rsidP="000244DE">
      <w:pPr>
        <w:pStyle w:val="ListParagraph"/>
        <w:numPr>
          <w:ilvl w:val="1"/>
          <w:numId w:val="14"/>
        </w:numPr>
        <w:jc w:val="both"/>
      </w:pPr>
      <w:r>
        <w:t xml:space="preserve">Income received is credited to the </w:t>
      </w:r>
      <w:r w:rsidR="000244DE">
        <w:t>G</w:t>
      </w:r>
      <w:r>
        <w:t xml:space="preserve">eneral </w:t>
      </w:r>
      <w:r w:rsidR="000244DE">
        <w:t>F</w:t>
      </w:r>
      <w:r>
        <w:t>und.</w:t>
      </w:r>
    </w:p>
    <w:p w14:paraId="39ADE4DA" w14:textId="3F1BABB7" w:rsidR="002329CF" w:rsidRDefault="002329CF" w:rsidP="004A6D2F">
      <w:pPr>
        <w:rPr>
          <w:rFonts w:cs="Arial"/>
        </w:rPr>
      </w:pPr>
    </w:p>
    <w:p w14:paraId="23976206" w14:textId="77777777" w:rsidR="000244DE" w:rsidRPr="002C6903" w:rsidRDefault="000244DE" w:rsidP="004A6D2F">
      <w:pPr>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2C6903" w14:paraId="0D71A21D"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F315210" w14:textId="77777777" w:rsidR="00E87F7A" w:rsidRPr="002C6903" w:rsidRDefault="00E87F7A" w:rsidP="00A46E98">
            <w:pPr>
              <w:rPr>
                <w:rFonts w:cs="Arial"/>
                <w:b/>
              </w:rPr>
            </w:pPr>
            <w:r w:rsidRPr="002C6903">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2262BF9" w14:textId="0BB1B855" w:rsidR="00E87F7A" w:rsidRPr="002C6903" w:rsidRDefault="002C6903" w:rsidP="00A46E98">
            <w:pPr>
              <w:rPr>
                <w:rFonts w:cs="Arial"/>
              </w:rPr>
            </w:pPr>
            <w:r w:rsidRPr="002C6903">
              <w:rPr>
                <w:rFonts w:cs="Arial"/>
              </w:rPr>
              <w:t>Jason Jones</w:t>
            </w:r>
          </w:p>
        </w:tc>
      </w:tr>
      <w:tr w:rsidR="00DF093E" w:rsidRPr="002C6903" w14:paraId="3ED82856"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5B64DDEB" w14:textId="77777777" w:rsidR="00E87F7A" w:rsidRPr="002C6903" w:rsidRDefault="00E87F7A" w:rsidP="00A46E98">
            <w:pPr>
              <w:rPr>
                <w:rFonts w:cs="Arial"/>
              </w:rPr>
            </w:pPr>
            <w:r w:rsidRPr="002C6903">
              <w:rPr>
                <w:rFonts w:cs="Arial"/>
              </w:rPr>
              <w:t>Job title</w:t>
            </w:r>
          </w:p>
        </w:tc>
        <w:tc>
          <w:tcPr>
            <w:tcW w:w="4962" w:type="dxa"/>
            <w:tcBorders>
              <w:top w:val="single" w:sz="8" w:space="0" w:color="000000"/>
              <w:left w:val="nil"/>
              <w:bottom w:val="nil"/>
              <w:right w:val="single" w:sz="8" w:space="0" w:color="000000"/>
            </w:tcBorders>
            <w:shd w:val="clear" w:color="auto" w:fill="auto"/>
          </w:tcPr>
          <w:p w14:paraId="47A277BB" w14:textId="4584CE96" w:rsidR="00E87F7A" w:rsidRPr="002C6903" w:rsidRDefault="002C6903" w:rsidP="00A46E98">
            <w:pPr>
              <w:rPr>
                <w:rFonts w:cs="Arial"/>
              </w:rPr>
            </w:pPr>
            <w:r w:rsidRPr="002C6903">
              <w:rPr>
                <w:rFonts w:cs="Arial"/>
              </w:rPr>
              <w:t>Finance Business Partner (HRA)</w:t>
            </w:r>
          </w:p>
        </w:tc>
      </w:tr>
      <w:tr w:rsidR="00DF093E" w:rsidRPr="002C6903" w14:paraId="1377262C" w14:textId="77777777" w:rsidTr="00A46E98">
        <w:trPr>
          <w:cantSplit/>
          <w:trHeight w:val="396"/>
        </w:trPr>
        <w:tc>
          <w:tcPr>
            <w:tcW w:w="3969" w:type="dxa"/>
            <w:tcBorders>
              <w:top w:val="nil"/>
              <w:left w:val="single" w:sz="8" w:space="0" w:color="000000"/>
              <w:bottom w:val="nil"/>
              <w:right w:val="nil"/>
            </w:tcBorders>
            <w:shd w:val="clear" w:color="auto" w:fill="auto"/>
          </w:tcPr>
          <w:p w14:paraId="05903833" w14:textId="77777777" w:rsidR="00E87F7A" w:rsidRPr="002C6903" w:rsidRDefault="00E87F7A" w:rsidP="00A46E98">
            <w:pPr>
              <w:rPr>
                <w:rFonts w:cs="Arial"/>
              </w:rPr>
            </w:pPr>
            <w:r w:rsidRPr="002C6903">
              <w:rPr>
                <w:rFonts w:cs="Arial"/>
              </w:rPr>
              <w:t>Service area or department</w:t>
            </w:r>
          </w:p>
        </w:tc>
        <w:tc>
          <w:tcPr>
            <w:tcW w:w="4962" w:type="dxa"/>
            <w:tcBorders>
              <w:top w:val="nil"/>
              <w:left w:val="nil"/>
              <w:bottom w:val="nil"/>
              <w:right w:val="single" w:sz="8" w:space="0" w:color="000000"/>
            </w:tcBorders>
            <w:shd w:val="clear" w:color="auto" w:fill="auto"/>
          </w:tcPr>
          <w:p w14:paraId="08C89E8C" w14:textId="7A6FA690" w:rsidR="00E87F7A" w:rsidRPr="002C6903" w:rsidRDefault="002C6903" w:rsidP="00A46E98">
            <w:pPr>
              <w:rPr>
                <w:rFonts w:cs="Arial"/>
              </w:rPr>
            </w:pPr>
            <w:r w:rsidRPr="002C6903">
              <w:rPr>
                <w:rFonts w:cs="Arial"/>
              </w:rPr>
              <w:t>Financial Services</w:t>
            </w:r>
          </w:p>
        </w:tc>
      </w:tr>
      <w:tr w:rsidR="00DF093E" w:rsidRPr="002C6903" w14:paraId="1B38618A" w14:textId="77777777" w:rsidTr="00A46E98">
        <w:trPr>
          <w:cantSplit/>
          <w:trHeight w:val="396"/>
        </w:trPr>
        <w:tc>
          <w:tcPr>
            <w:tcW w:w="3969" w:type="dxa"/>
            <w:tcBorders>
              <w:top w:val="nil"/>
              <w:left w:val="single" w:sz="8" w:space="0" w:color="000000"/>
              <w:bottom w:val="nil"/>
              <w:right w:val="nil"/>
            </w:tcBorders>
            <w:shd w:val="clear" w:color="auto" w:fill="auto"/>
          </w:tcPr>
          <w:p w14:paraId="5D001A22" w14:textId="77777777" w:rsidR="00E87F7A" w:rsidRPr="002C6903" w:rsidRDefault="00E87F7A" w:rsidP="00A46E98">
            <w:pPr>
              <w:rPr>
                <w:rFonts w:cs="Arial"/>
              </w:rPr>
            </w:pPr>
            <w:r w:rsidRPr="002C6903">
              <w:rPr>
                <w:rFonts w:cs="Arial"/>
              </w:rPr>
              <w:t xml:space="preserve">Telephone </w:t>
            </w:r>
          </w:p>
        </w:tc>
        <w:tc>
          <w:tcPr>
            <w:tcW w:w="4962" w:type="dxa"/>
            <w:tcBorders>
              <w:top w:val="nil"/>
              <w:left w:val="nil"/>
              <w:bottom w:val="nil"/>
              <w:right w:val="single" w:sz="8" w:space="0" w:color="000000"/>
            </w:tcBorders>
            <w:shd w:val="clear" w:color="auto" w:fill="auto"/>
          </w:tcPr>
          <w:p w14:paraId="67F7745F" w14:textId="46B7DD91" w:rsidR="00E87F7A" w:rsidRPr="002C6903" w:rsidRDefault="00E87F7A" w:rsidP="00A46E98">
            <w:pPr>
              <w:rPr>
                <w:rFonts w:cs="Arial"/>
              </w:rPr>
            </w:pPr>
            <w:r w:rsidRPr="002C6903">
              <w:rPr>
                <w:rFonts w:cs="Arial"/>
              </w:rPr>
              <w:t xml:space="preserve">01865 </w:t>
            </w:r>
            <w:r w:rsidR="002C6903" w:rsidRPr="002C6903">
              <w:rPr>
                <w:rFonts w:cs="Arial"/>
              </w:rPr>
              <w:t>252365</w:t>
            </w:r>
          </w:p>
        </w:tc>
      </w:tr>
      <w:tr w:rsidR="005570B5" w:rsidRPr="002C6903" w14:paraId="58F28967"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5D02BCBA" w14:textId="77777777" w:rsidR="00E87F7A" w:rsidRPr="002C6903" w:rsidRDefault="00E87F7A" w:rsidP="00A46E98">
            <w:pPr>
              <w:rPr>
                <w:rFonts w:cs="Arial"/>
              </w:rPr>
            </w:pPr>
            <w:r w:rsidRPr="002C6903">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14:paraId="4D0F245B" w14:textId="64A8DEE7" w:rsidR="00E87F7A" w:rsidRPr="002C6903" w:rsidRDefault="000244DE" w:rsidP="00A46E98">
            <w:pPr>
              <w:rPr>
                <w:rStyle w:val="Hyperlink"/>
                <w:rFonts w:cs="Arial"/>
                <w:color w:val="000000"/>
              </w:rPr>
            </w:pPr>
            <w:hyperlink r:id="rId11" w:history="1">
              <w:r w:rsidR="002C6903" w:rsidRPr="002C6903">
                <w:rPr>
                  <w:rStyle w:val="Hyperlink"/>
                  <w:rFonts w:cs="Arial"/>
                </w:rPr>
                <w:t>jjones@oxford.gov.uk</w:t>
              </w:r>
            </w:hyperlink>
            <w:r w:rsidR="002C6903" w:rsidRPr="002C6903">
              <w:rPr>
                <w:rStyle w:val="Hyperlink"/>
                <w:rFonts w:cs="Arial"/>
                <w:color w:val="000000"/>
              </w:rPr>
              <w:t xml:space="preserve"> </w:t>
            </w:r>
          </w:p>
        </w:tc>
      </w:tr>
    </w:tbl>
    <w:p w14:paraId="6B8E2628" w14:textId="77777777" w:rsidR="00433B96" w:rsidRPr="002C6903" w:rsidRDefault="00433B96" w:rsidP="004A6D2F">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2C6903" w14:paraId="7FE06BE3"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475AC265" w14:textId="77777777" w:rsidR="0093067A" w:rsidRPr="002C6903" w:rsidRDefault="00182B81" w:rsidP="00F41AC1">
            <w:pPr>
              <w:rPr>
                <w:rFonts w:cs="Arial"/>
              </w:rPr>
            </w:pPr>
            <w:r w:rsidRPr="002C6903">
              <w:rPr>
                <w:rStyle w:val="Firstpagetablebold"/>
                <w:rFonts w:cs="Arial"/>
              </w:rPr>
              <w:t xml:space="preserve">Background Papers: </w:t>
            </w:r>
            <w:r w:rsidRPr="002C6903">
              <w:rPr>
                <w:rStyle w:val="Firstpagetablebold"/>
                <w:rFonts w:cs="Arial"/>
                <w:b w:val="0"/>
              </w:rPr>
              <w:t>None</w:t>
            </w:r>
          </w:p>
        </w:tc>
      </w:tr>
    </w:tbl>
    <w:p w14:paraId="25BC88BD" w14:textId="41503590" w:rsidR="00CE4C87" w:rsidRPr="002C6903" w:rsidRDefault="00CE4C87" w:rsidP="0093067A">
      <w:pPr>
        <w:rPr>
          <w:rFonts w:cs="Arial"/>
        </w:rPr>
      </w:pPr>
    </w:p>
    <w:p w14:paraId="3D23B479" w14:textId="1DCF53A9" w:rsidR="002C6903" w:rsidRPr="002C6903" w:rsidRDefault="002C6903" w:rsidP="0093067A">
      <w:pPr>
        <w:rPr>
          <w:rFonts w:cs="Arial"/>
        </w:rPr>
      </w:pPr>
    </w:p>
    <w:p w14:paraId="35C93BBC" w14:textId="04055DC3" w:rsidR="002C6903" w:rsidRPr="002C6903" w:rsidRDefault="002C6903" w:rsidP="0093067A">
      <w:pPr>
        <w:rPr>
          <w:rFonts w:cs="Arial"/>
        </w:rPr>
      </w:pPr>
    </w:p>
    <w:p w14:paraId="5CEAB9BC" w14:textId="33E44E78" w:rsidR="002C6903" w:rsidRPr="002C6903" w:rsidRDefault="002C6903" w:rsidP="0093067A">
      <w:pPr>
        <w:rPr>
          <w:rFonts w:cs="Arial"/>
        </w:rPr>
      </w:pPr>
    </w:p>
    <w:p w14:paraId="58A31E05" w14:textId="3955C270" w:rsidR="002C6903" w:rsidRDefault="002C6903" w:rsidP="0093067A">
      <w:pPr>
        <w:rPr>
          <w:rFonts w:cs="Arial"/>
        </w:rPr>
      </w:pPr>
    </w:p>
    <w:p w14:paraId="2A110BD2" w14:textId="6AFF358D" w:rsidR="000244DE" w:rsidRDefault="000244DE" w:rsidP="0093067A">
      <w:pPr>
        <w:rPr>
          <w:rFonts w:cs="Arial"/>
        </w:rPr>
      </w:pPr>
    </w:p>
    <w:p w14:paraId="5BB66040" w14:textId="7E97652B" w:rsidR="000244DE" w:rsidRDefault="000244DE" w:rsidP="0093067A">
      <w:pPr>
        <w:rPr>
          <w:rFonts w:cs="Arial"/>
        </w:rPr>
      </w:pPr>
    </w:p>
    <w:p w14:paraId="11110E5F" w14:textId="56610DC7" w:rsidR="000244DE" w:rsidRDefault="000244DE" w:rsidP="0093067A">
      <w:pPr>
        <w:rPr>
          <w:rFonts w:cs="Arial"/>
        </w:rPr>
      </w:pPr>
    </w:p>
    <w:p w14:paraId="645A7F21" w14:textId="7ECC0E25" w:rsidR="000244DE" w:rsidRDefault="000244DE" w:rsidP="0093067A">
      <w:pPr>
        <w:rPr>
          <w:rFonts w:cs="Arial"/>
        </w:rPr>
      </w:pPr>
    </w:p>
    <w:p w14:paraId="754796A0" w14:textId="566A7BA0" w:rsidR="000244DE" w:rsidRDefault="000244DE" w:rsidP="0093067A">
      <w:pPr>
        <w:rPr>
          <w:rFonts w:cs="Arial"/>
        </w:rPr>
      </w:pPr>
    </w:p>
    <w:p w14:paraId="4E157A92" w14:textId="290C1DE3" w:rsidR="000244DE" w:rsidRDefault="000244DE" w:rsidP="0093067A">
      <w:pPr>
        <w:rPr>
          <w:rFonts w:cs="Arial"/>
        </w:rPr>
      </w:pPr>
    </w:p>
    <w:p w14:paraId="50E3680D" w14:textId="77777777" w:rsidR="000244DE" w:rsidRPr="002C6903" w:rsidRDefault="000244DE" w:rsidP="0093067A">
      <w:pPr>
        <w:rPr>
          <w:rFonts w:cs="Arial"/>
        </w:rPr>
      </w:pPr>
    </w:p>
    <w:p w14:paraId="5C978F99" w14:textId="3D6CB879" w:rsidR="002C6903" w:rsidRPr="002C6903" w:rsidRDefault="002C6903" w:rsidP="0093067A">
      <w:pPr>
        <w:rPr>
          <w:rFonts w:cs="Arial"/>
        </w:rPr>
      </w:pPr>
    </w:p>
    <w:p w14:paraId="0EEDD646" w14:textId="5CBA0F76" w:rsidR="002C6903" w:rsidRPr="002C6903" w:rsidRDefault="002C6903" w:rsidP="0093067A">
      <w:pPr>
        <w:rPr>
          <w:rFonts w:cs="Arial"/>
          <w:b/>
          <w:bCs/>
          <w:u w:val="single"/>
        </w:rPr>
      </w:pPr>
      <w:r w:rsidRPr="002C6903">
        <w:rPr>
          <w:rFonts w:cs="Arial"/>
          <w:b/>
          <w:bCs/>
          <w:u w:val="single"/>
        </w:rPr>
        <w:t>Appendix 1: Extracts from the relevant Housing Acts</w:t>
      </w:r>
    </w:p>
    <w:p w14:paraId="18302192" w14:textId="77777777" w:rsidR="002C6903" w:rsidRDefault="002C6903" w:rsidP="002C6903">
      <w:pPr>
        <w:jc w:val="both"/>
        <w:rPr>
          <w:rFonts w:cs="Arial"/>
          <w:b/>
        </w:rPr>
      </w:pPr>
    </w:p>
    <w:p w14:paraId="5B0AEFBE" w14:textId="647FDC37" w:rsidR="002C6903" w:rsidRPr="002C6903" w:rsidRDefault="002C6903" w:rsidP="002C6903">
      <w:pPr>
        <w:jc w:val="both"/>
        <w:rPr>
          <w:rFonts w:cs="Arial"/>
          <w:b/>
        </w:rPr>
      </w:pPr>
      <w:r w:rsidRPr="002C6903">
        <w:rPr>
          <w:rFonts w:cs="Arial"/>
          <w:b/>
        </w:rPr>
        <w:t>Section 9 of the Housing Act 1985 - Provisions of housing accommodation.</w:t>
      </w:r>
    </w:p>
    <w:p w14:paraId="4D9C2AE2" w14:textId="77777777" w:rsidR="002C6903" w:rsidRPr="002C6903" w:rsidRDefault="002C6903" w:rsidP="002C6903">
      <w:pPr>
        <w:jc w:val="both"/>
        <w:rPr>
          <w:rFonts w:cs="Arial"/>
        </w:rPr>
      </w:pPr>
      <w:r w:rsidRPr="002C6903">
        <w:rPr>
          <w:rFonts w:cs="Arial"/>
        </w:rPr>
        <w:t>(1)A local housing authority may provide housing accommodation—</w:t>
      </w:r>
    </w:p>
    <w:p w14:paraId="7B25F84A" w14:textId="77777777" w:rsidR="002C6903" w:rsidRPr="002C6903" w:rsidRDefault="002C6903" w:rsidP="002C6903">
      <w:pPr>
        <w:ind w:left="720"/>
        <w:jc w:val="both"/>
        <w:rPr>
          <w:rFonts w:cs="Arial"/>
        </w:rPr>
      </w:pPr>
      <w:r w:rsidRPr="002C6903">
        <w:rPr>
          <w:rFonts w:cs="Arial"/>
        </w:rPr>
        <w:t>(a) by erecting houses, or converting buildings into houses, on land acquired by them for the purposes of this Part, or</w:t>
      </w:r>
    </w:p>
    <w:p w14:paraId="7AB32711" w14:textId="77777777" w:rsidR="002C6903" w:rsidRPr="002C6903" w:rsidRDefault="002C6903" w:rsidP="002C6903">
      <w:pPr>
        <w:ind w:left="720"/>
        <w:jc w:val="both"/>
        <w:rPr>
          <w:rFonts w:cs="Arial"/>
        </w:rPr>
      </w:pPr>
      <w:r w:rsidRPr="002C6903">
        <w:rPr>
          <w:rFonts w:cs="Arial"/>
        </w:rPr>
        <w:t>(b) by acquiring houses.</w:t>
      </w:r>
    </w:p>
    <w:p w14:paraId="45EE9E80" w14:textId="77777777" w:rsidR="002C6903" w:rsidRPr="002C6903" w:rsidRDefault="002C6903" w:rsidP="002C6903">
      <w:pPr>
        <w:jc w:val="both"/>
        <w:rPr>
          <w:rFonts w:cs="Arial"/>
        </w:rPr>
      </w:pPr>
      <w:r w:rsidRPr="002C6903">
        <w:rPr>
          <w:rFonts w:cs="Arial"/>
        </w:rPr>
        <w:t xml:space="preserve">(2) The authority may alter, enlarge, </w:t>
      </w:r>
      <w:proofErr w:type="gramStart"/>
      <w:r w:rsidRPr="002C6903">
        <w:rPr>
          <w:rFonts w:cs="Arial"/>
        </w:rPr>
        <w:t>repair</w:t>
      </w:r>
      <w:proofErr w:type="gramEnd"/>
      <w:r w:rsidRPr="002C6903">
        <w:rPr>
          <w:rFonts w:cs="Arial"/>
        </w:rPr>
        <w:t xml:space="preserve"> or improve a house so erected, converted or acquired.</w:t>
      </w:r>
    </w:p>
    <w:p w14:paraId="6E4380EB" w14:textId="77777777" w:rsidR="002C6903" w:rsidRPr="002C6903" w:rsidRDefault="002C6903" w:rsidP="002C6903">
      <w:pPr>
        <w:jc w:val="both"/>
        <w:rPr>
          <w:rFonts w:cs="Arial"/>
        </w:rPr>
      </w:pPr>
      <w:r w:rsidRPr="002C6903">
        <w:rPr>
          <w:rFonts w:cs="Arial"/>
        </w:rPr>
        <w:t>(3) These powers may equally be exercised in relation to land acquired for the purpose—</w:t>
      </w:r>
    </w:p>
    <w:p w14:paraId="2EB5B135" w14:textId="77777777" w:rsidR="002C6903" w:rsidRPr="002C6903" w:rsidRDefault="002C6903" w:rsidP="002C6903">
      <w:pPr>
        <w:ind w:left="720"/>
        <w:jc w:val="both"/>
        <w:rPr>
          <w:rFonts w:cs="Arial"/>
        </w:rPr>
      </w:pPr>
      <w:r w:rsidRPr="002C6903">
        <w:rPr>
          <w:rFonts w:cs="Arial"/>
        </w:rPr>
        <w:t>(a) of disposing of houses provided, or to be provided, on the land, or</w:t>
      </w:r>
    </w:p>
    <w:p w14:paraId="0B5BFF38" w14:textId="77777777" w:rsidR="002C6903" w:rsidRPr="002C6903" w:rsidRDefault="002C6903" w:rsidP="002C6903">
      <w:pPr>
        <w:ind w:left="720"/>
        <w:jc w:val="both"/>
        <w:rPr>
          <w:rFonts w:cs="Arial"/>
        </w:rPr>
      </w:pPr>
      <w:r w:rsidRPr="002C6903">
        <w:rPr>
          <w:rFonts w:cs="Arial"/>
        </w:rPr>
        <w:t>(b) of disposing of the land to a person who intends to provide housing accommodation on it.</w:t>
      </w:r>
    </w:p>
    <w:p w14:paraId="635ACD53" w14:textId="77777777" w:rsidR="002C6903" w:rsidRPr="002C6903" w:rsidRDefault="002C6903" w:rsidP="002C6903">
      <w:pPr>
        <w:jc w:val="both"/>
        <w:rPr>
          <w:rFonts w:cs="Arial"/>
        </w:rPr>
      </w:pPr>
      <w:r w:rsidRPr="002C6903">
        <w:rPr>
          <w:rFonts w:cs="Arial"/>
        </w:rPr>
        <w:t>(4) A local housing authority may not under this Part provide a cottage with a garden of more than one acre.</w:t>
      </w:r>
    </w:p>
    <w:p w14:paraId="2D83DC05" w14:textId="77777777" w:rsidR="002C6903" w:rsidRPr="002C6903" w:rsidRDefault="002C6903" w:rsidP="002C6903">
      <w:pPr>
        <w:jc w:val="both"/>
        <w:rPr>
          <w:rFonts w:cs="Arial"/>
        </w:rPr>
      </w:pPr>
      <w:r w:rsidRPr="002C6903">
        <w:rPr>
          <w:rFonts w:cs="Arial"/>
        </w:rPr>
        <w:t>(5) Nothing in this Act shall be taken to require (or to have at any time required) a local housing authority itself to acquire or hold any houses or other land for the purposes of this Part.</w:t>
      </w:r>
    </w:p>
    <w:p w14:paraId="2A9E53C9" w14:textId="77777777" w:rsidR="002C6903" w:rsidRPr="002C6903" w:rsidRDefault="002C6903" w:rsidP="002C6903">
      <w:pPr>
        <w:jc w:val="both"/>
        <w:rPr>
          <w:rFonts w:cs="Arial"/>
        </w:rPr>
      </w:pPr>
    </w:p>
    <w:p w14:paraId="17011E4A" w14:textId="77777777" w:rsidR="002C6903" w:rsidRPr="002C6903" w:rsidRDefault="002C6903" w:rsidP="002C6903">
      <w:pPr>
        <w:pStyle w:val="Heading4"/>
        <w:shd w:val="clear" w:color="auto" w:fill="FFFFFF"/>
        <w:spacing w:before="0" w:after="120" w:line="288" w:lineRule="atLeast"/>
        <w:jc w:val="both"/>
        <w:rPr>
          <w:rFonts w:ascii="Arial" w:hAnsi="Arial" w:cs="Arial"/>
          <w:b/>
          <w:i w:val="0"/>
          <w:color w:val="000000"/>
          <w:sz w:val="24"/>
          <w:szCs w:val="24"/>
        </w:rPr>
      </w:pPr>
      <w:r w:rsidRPr="002C6903">
        <w:rPr>
          <w:rStyle w:val="legds"/>
          <w:rFonts w:ascii="Arial" w:hAnsi="Arial" w:cs="Arial"/>
          <w:b/>
          <w:i w:val="0"/>
          <w:color w:val="000000"/>
          <w:sz w:val="24"/>
          <w:szCs w:val="24"/>
        </w:rPr>
        <w:t>Section 74 of the 1989 Act - Duty to keep Housing Revenue Account</w:t>
      </w:r>
    </w:p>
    <w:p w14:paraId="20F3AF50" w14:textId="77777777" w:rsidR="002C6903" w:rsidRPr="002C6903" w:rsidRDefault="002C6903" w:rsidP="002C6903">
      <w:pPr>
        <w:pStyle w:val="legclearfix"/>
        <w:shd w:val="clear" w:color="auto" w:fill="FFFFFF"/>
        <w:spacing w:before="0" w:beforeAutospacing="0" w:after="120" w:afterAutospacing="0" w:line="360" w:lineRule="atLeast"/>
        <w:jc w:val="both"/>
        <w:rPr>
          <w:rFonts w:ascii="Arial" w:hAnsi="Arial" w:cs="Arial"/>
          <w:color w:val="000000"/>
        </w:rPr>
      </w:pPr>
      <w:r w:rsidRPr="002C6903">
        <w:rPr>
          <w:rStyle w:val="legds"/>
          <w:rFonts w:ascii="Arial" w:eastAsiaTheme="majorEastAsia" w:hAnsi="Arial" w:cs="Arial"/>
          <w:color w:val="000000"/>
        </w:rPr>
        <w:t>(1) A local housing authority shall keep, in accordance with proper practices, an account, called the “Housing Revenue Account”, of sums falling to be credited or debited in respect of—</w:t>
      </w:r>
    </w:p>
    <w:p w14:paraId="3F994CE8" w14:textId="77777777" w:rsidR="002C6903" w:rsidRPr="002C6903" w:rsidRDefault="002C6903" w:rsidP="002C6903">
      <w:pPr>
        <w:pStyle w:val="legclearfix"/>
        <w:shd w:val="clear" w:color="auto" w:fill="FFFFFF"/>
        <w:spacing w:before="0" w:beforeAutospacing="0" w:after="120" w:afterAutospacing="0" w:line="360" w:lineRule="atLeast"/>
        <w:ind w:left="720"/>
        <w:jc w:val="both"/>
        <w:rPr>
          <w:rFonts w:ascii="Arial" w:hAnsi="Arial" w:cs="Arial"/>
          <w:color w:val="000000"/>
        </w:rPr>
      </w:pPr>
      <w:r w:rsidRPr="002C6903">
        <w:rPr>
          <w:rStyle w:val="legds"/>
          <w:rFonts w:ascii="Arial" w:eastAsiaTheme="majorEastAsia" w:hAnsi="Arial" w:cs="Arial"/>
          <w:color w:val="000000"/>
        </w:rPr>
        <w:t>(a) houses and other buildings which have been provided under Part II of the </w:t>
      </w:r>
      <w:r w:rsidRPr="002C6903">
        <w:rPr>
          <w:rStyle w:val="legmarginnoteref"/>
          <w:rFonts w:ascii="Arial" w:eastAsiaTheme="majorEastAsia" w:hAnsi="Arial" w:cs="Arial"/>
        </w:rPr>
        <w:t>[1985 c. 68.] </w:t>
      </w:r>
      <w:r w:rsidRPr="002C6903">
        <w:rPr>
          <w:rStyle w:val="legds"/>
          <w:rFonts w:ascii="Arial" w:eastAsiaTheme="majorEastAsia" w:hAnsi="Arial" w:cs="Arial"/>
          <w:color w:val="000000"/>
        </w:rPr>
        <w:t>Housing Act 1985 (provision of housing</w:t>
      </w:r>
      <w:proofErr w:type="gramStart"/>
      <w:r w:rsidRPr="002C6903">
        <w:rPr>
          <w:rStyle w:val="legds"/>
          <w:rFonts w:ascii="Arial" w:eastAsiaTheme="majorEastAsia" w:hAnsi="Arial" w:cs="Arial"/>
          <w:color w:val="000000"/>
        </w:rPr>
        <w:t>);</w:t>
      </w:r>
      <w:proofErr w:type="gramEnd"/>
    </w:p>
    <w:p w14:paraId="772826A3" w14:textId="77777777" w:rsidR="002C6903" w:rsidRPr="002C6903" w:rsidRDefault="002C6903" w:rsidP="002C6903">
      <w:pPr>
        <w:pStyle w:val="legclearfix"/>
        <w:shd w:val="clear" w:color="auto" w:fill="FFFFFF"/>
        <w:spacing w:before="0" w:beforeAutospacing="0" w:after="120" w:afterAutospacing="0" w:line="360" w:lineRule="atLeast"/>
        <w:ind w:left="720"/>
        <w:jc w:val="both"/>
        <w:rPr>
          <w:rFonts w:ascii="Arial" w:hAnsi="Arial" w:cs="Arial"/>
          <w:color w:val="000000"/>
        </w:rPr>
      </w:pPr>
      <w:r w:rsidRPr="002C6903">
        <w:rPr>
          <w:rStyle w:val="legds"/>
          <w:rFonts w:ascii="Arial" w:eastAsiaTheme="majorEastAsia" w:hAnsi="Arial" w:cs="Arial"/>
          <w:color w:val="000000"/>
        </w:rPr>
        <w:t xml:space="preserve">(b) land which has been acquired or appropriated for the purposes of that </w:t>
      </w:r>
      <w:proofErr w:type="gramStart"/>
      <w:r w:rsidRPr="002C6903">
        <w:rPr>
          <w:rStyle w:val="legds"/>
          <w:rFonts w:ascii="Arial" w:eastAsiaTheme="majorEastAsia" w:hAnsi="Arial" w:cs="Arial"/>
          <w:color w:val="000000"/>
        </w:rPr>
        <w:t>Part;</w:t>
      </w:r>
      <w:proofErr w:type="gramEnd"/>
    </w:p>
    <w:p w14:paraId="5A5F2A8F" w14:textId="77777777" w:rsidR="002C6903" w:rsidRPr="002C6903" w:rsidRDefault="002C6903" w:rsidP="002C6903">
      <w:pPr>
        <w:pStyle w:val="legclearfix"/>
        <w:shd w:val="clear" w:color="auto" w:fill="FFFFFF"/>
        <w:spacing w:before="0" w:beforeAutospacing="0" w:after="120" w:afterAutospacing="0" w:line="360" w:lineRule="atLeast"/>
        <w:ind w:left="720"/>
        <w:jc w:val="both"/>
        <w:rPr>
          <w:rFonts w:ascii="Arial" w:hAnsi="Arial" w:cs="Arial"/>
          <w:color w:val="000000"/>
        </w:rPr>
      </w:pPr>
      <w:r w:rsidRPr="002C6903">
        <w:rPr>
          <w:rStyle w:val="legds"/>
          <w:rFonts w:ascii="Arial" w:eastAsiaTheme="majorEastAsia" w:hAnsi="Arial" w:cs="Arial"/>
          <w:color w:val="000000"/>
        </w:rPr>
        <w:t>(c houses purchased under section 192 of that Act (purchase of house found on appeal against repair notice to be unfit and beyond repair at reasonable cost</w:t>
      </w:r>
      <w:proofErr w:type="gramStart"/>
      <w:r w:rsidRPr="002C6903">
        <w:rPr>
          <w:rStyle w:val="legds"/>
          <w:rFonts w:ascii="Arial" w:eastAsiaTheme="majorEastAsia" w:hAnsi="Arial" w:cs="Arial"/>
          <w:color w:val="000000"/>
        </w:rPr>
        <w:t>);</w:t>
      </w:r>
      <w:proofErr w:type="gramEnd"/>
    </w:p>
    <w:p w14:paraId="0FF086CB" w14:textId="77777777" w:rsidR="002C6903" w:rsidRPr="002C6903" w:rsidRDefault="002C6903" w:rsidP="002C6903">
      <w:pPr>
        <w:pStyle w:val="legclearfix"/>
        <w:shd w:val="clear" w:color="auto" w:fill="FFFFFF"/>
        <w:spacing w:before="0" w:beforeAutospacing="0" w:after="120" w:afterAutospacing="0" w:line="360" w:lineRule="atLeast"/>
        <w:ind w:left="720"/>
        <w:jc w:val="both"/>
        <w:rPr>
          <w:rFonts w:ascii="Arial" w:hAnsi="Arial" w:cs="Arial"/>
          <w:color w:val="000000"/>
        </w:rPr>
      </w:pPr>
      <w:r w:rsidRPr="002C6903">
        <w:rPr>
          <w:rStyle w:val="legds"/>
          <w:rFonts w:ascii="Arial" w:eastAsiaTheme="majorEastAsia" w:hAnsi="Arial" w:cs="Arial"/>
          <w:color w:val="000000"/>
        </w:rPr>
        <w:t xml:space="preserve">(d) dwellings in respect of which a local authority </w:t>
      </w:r>
      <w:proofErr w:type="gramStart"/>
      <w:r w:rsidRPr="002C6903">
        <w:rPr>
          <w:rStyle w:val="legds"/>
          <w:rFonts w:ascii="Arial" w:eastAsiaTheme="majorEastAsia" w:hAnsi="Arial" w:cs="Arial"/>
          <w:color w:val="000000"/>
        </w:rPr>
        <w:t>have</w:t>
      </w:r>
      <w:proofErr w:type="gramEnd"/>
      <w:r w:rsidRPr="002C6903">
        <w:rPr>
          <w:rStyle w:val="legds"/>
          <w:rFonts w:ascii="Arial" w:eastAsiaTheme="majorEastAsia" w:hAnsi="Arial" w:cs="Arial"/>
          <w:color w:val="000000"/>
        </w:rPr>
        <w:t xml:space="preserve"> received assistance under section 1 or section 4(2A) of the </w:t>
      </w:r>
      <w:r w:rsidRPr="002C6903">
        <w:rPr>
          <w:rStyle w:val="legmarginnoteref"/>
          <w:rFonts w:ascii="Arial" w:eastAsiaTheme="majorEastAsia" w:hAnsi="Arial" w:cs="Arial"/>
        </w:rPr>
        <w:t>[1926 c. 56.] </w:t>
      </w:r>
      <w:r w:rsidRPr="002C6903">
        <w:rPr>
          <w:rStyle w:val="legds"/>
          <w:rFonts w:ascii="Arial" w:eastAsiaTheme="majorEastAsia" w:hAnsi="Arial" w:cs="Arial"/>
          <w:color w:val="000000"/>
        </w:rPr>
        <w:t xml:space="preserve">Housing (Rural Workers) Act </w:t>
      </w:r>
      <w:proofErr w:type="gramStart"/>
      <w:r w:rsidRPr="002C6903">
        <w:rPr>
          <w:rStyle w:val="legds"/>
          <w:rFonts w:ascii="Arial" w:eastAsiaTheme="majorEastAsia" w:hAnsi="Arial" w:cs="Arial"/>
          <w:color w:val="000000"/>
        </w:rPr>
        <w:t>1926;</w:t>
      </w:r>
      <w:proofErr w:type="gramEnd"/>
    </w:p>
    <w:p w14:paraId="196FE13B" w14:textId="77777777" w:rsidR="002C6903" w:rsidRPr="002C6903" w:rsidRDefault="002C6903" w:rsidP="002C6903">
      <w:pPr>
        <w:pStyle w:val="legclearfix"/>
        <w:shd w:val="clear" w:color="auto" w:fill="FFFFFF"/>
        <w:spacing w:before="0" w:beforeAutospacing="0" w:after="120" w:afterAutospacing="0" w:line="360" w:lineRule="atLeast"/>
        <w:ind w:left="720"/>
        <w:jc w:val="both"/>
        <w:rPr>
          <w:rFonts w:ascii="Arial" w:hAnsi="Arial" w:cs="Arial"/>
          <w:color w:val="000000"/>
        </w:rPr>
      </w:pPr>
      <w:r w:rsidRPr="002C6903">
        <w:rPr>
          <w:rStyle w:val="legds"/>
          <w:rFonts w:ascii="Arial" w:eastAsiaTheme="majorEastAsia" w:hAnsi="Arial" w:cs="Arial"/>
          <w:color w:val="000000"/>
        </w:rPr>
        <w:t>(e) any property which—</w:t>
      </w:r>
    </w:p>
    <w:p w14:paraId="742052D9" w14:textId="77777777" w:rsidR="002C6903" w:rsidRPr="002C6903" w:rsidRDefault="002C6903" w:rsidP="002C6903">
      <w:pPr>
        <w:pStyle w:val="legclearfix"/>
        <w:shd w:val="clear" w:color="auto" w:fill="FFFFFF"/>
        <w:spacing w:before="0" w:beforeAutospacing="0" w:after="120" w:afterAutospacing="0" w:line="360" w:lineRule="atLeast"/>
        <w:ind w:left="1440"/>
        <w:jc w:val="both"/>
        <w:rPr>
          <w:rFonts w:ascii="Arial" w:hAnsi="Arial" w:cs="Arial"/>
          <w:color w:val="000000"/>
        </w:rPr>
      </w:pPr>
      <w:r w:rsidRPr="002C6903">
        <w:rPr>
          <w:rStyle w:val="legds"/>
          <w:rFonts w:ascii="Arial" w:eastAsiaTheme="majorEastAsia" w:hAnsi="Arial" w:cs="Arial"/>
          <w:color w:val="000000"/>
        </w:rPr>
        <w:t>(</w:t>
      </w:r>
      <w:proofErr w:type="spellStart"/>
      <w:r w:rsidRPr="002C6903">
        <w:rPr>
          <w:rStyle w:val="legds"/>
          <w:rFonts w:ascii="Arial" w:eastAsiaTheme="majorEastAsia" w:hAnsi="Arial" w:cs="Arial"/>
          <w:color w:val="000000"/>
        </w:rPr>
        <w:t>i</w:t>
      </w:r>
      <w:proofErr w:type="spellEnd"/>
      <w:r w:rsidRPr="002C6903">
        <w:rPr>
          <w:rStyle w:val="legds"/>
          <w:rFonts w:ascii="Arial" w:eastAsiaTheme="majorEastAsia" w:hAnsi="Arial" w:cs="Arial"/>
          <w:color w:val="000000"/>
        </w:rPr>
        <w:t>) with the consent of the Secretary of State given under section 417(1) of the Housing Act 1985,</w:t>
      </w:r>
    </w:p>
    <w:p w14:paraId="17173470" w14:textId="77777777" w:rsidR="002C6903" w:rsidRPr="002C6903" w:rsidRDefault="002C6903" w:rsidP="002C6903">
      <w:pPr>
        <w:pStyle w:val="legclearfix"/>
        <w:shd w:val="clear" w:color="auto" w:fill="FFFFFF"/>
        <w:spacing w:before="0" w:beforeAutospacing="0" w:after="120" w:afterAutospacing="0" w:line="360" w:lineRule="atLeast"/>
        <w:ind w:left="1440"/>
        <w:jc w:val="both"/>
        <w:rPr>
          <w:rFonts w:ascii="Arial" w:hAnsi="Arial" w:cs="Arial"/>
          <w:color w:val="000000"/>
        </w:rPr>
      </w:pPr>
      <w:r w:rsidRPr="002C6903">
        <w:rPr>
          <w:rStyle w:val="legds"/>
          <w:rFonts w:ascii="Arial" w:eastAsiaTheme="majorEastAsia" w:hAnsi="Arial" w:cs="Arial"/>
          <w:color w:val="000000"/>
        </w:rPr>
        <w:t>(ii) with the consent of a Minister given under section 50(1)(e) of the </w:t>
      </w:r>
      <w:r w:rsidRPr="002C6903">
        <w:rPr>
          <w:rStyle w:val="legmarginnoteref"/>
          <w:rFonts w:ascii="Arial" w:eastAsiaTheme="majorEastAsia" w:hAnsi="Arial" w:cs="Arial"/>
        </w:rPr>
        <w:t>[1958 c. 42.] </w:t>
      </w:r>
      <w:r w:rsidRPr="002C6903">
        <w:rPr>
          <w:rStyle w:val="legds"/>
          <w:rFonts w:ascii="Arial" w:eastAsiaTheme="majorEastAsia" w:hAnsi="Arial" w:cs="Arial"/>
          <w:color w:val="000000"/>
        </w:rPr>
        <w:t>Housing (Financial Provisions) Act 1958, or</w:t>
      </w:r>
    </w:p>
    <w:p w14:paraId="70436BD9" w14:textId="77777777" w:rsidR="002C6903" w:rsidRPr="002C6903" w:rsidRDefault="002C6903" w:rsidP="002C6903">
      <w:pPr>
        <w:pStyle w:val="legclearfix"/>
        <w:shd w:val="clear" w:color="auto" w:fill="FFFFFF"/>
        <w:spacing w:before="0" w:beforeAutospacing="0" w:after="120" w:afterAutospacing="0" w:line="360" w:lineRule="atLeast"/>
        <w:ind w:left="1440"/>
        <w:jc w:val="both"/>
        <w:rPr>
          <w:rFonts w:ascii="Arial" w:hAnsi="Arial" w:cs="Arial"/>
          <w:color w:val="000000"/>
        </w:rPr>
      </w:pPr>
      <w:r w:rsidRPr="002C6903">
        <w:rPr>
          <w:rStyle w:val="legds"/>
          <w:rFonts w:ascii="Arial" w:eastAsiaTheme="majorEastAsia" w:hAnsi="Arial" w:cs="Arial"/>
          <w:color w:val="000000"/>
        </w:rPr>
        <w:lastRenderedPageBreak/>
        <w:t>(iii) by virtue of section 50(2) of that Act (houses vesting in local authority on default of another person),</w:t>
      </w:r>
    </w:p>
    <w:p w14:paraId="658D68C1" w14:textId="77777777" w:rsidR="002C6903" w:rsidRPr="002C6903" w:rsidRDefault="002C6903" w:rsidP="002C6903">
      <w:pPr>
        <w:pStyle w:val="legrhs"/>
        <w:shd w:val="clear" w:color="auto" w:fill="FFFFFF"/>
        <w:spacing w:before="0" w:beforeAutospacing="0" w:after="120" w:afterAutospacing="0" w:line="360" w:lineRule="atLeast"/>
        <w:ind w:left="1440"/>
        <w:jc w:val="both"/>
        <w:rPr>
          <w:rFonts w:ascii="Arial" w:hAnsi="Arial" w:cs="Arial"/>
          <w:color w:val="000000"/>
        </w:rPr>
      </w:pPr>
      <w:r w:rsidRPr="002C6903">
        <w:rPr>
          <w:rFonts w:ascii="Arial" w:hAnsi="Arial" w:cs="Arial"/>
          <w:color w:val="000000"/>
        </w:rPr>
        <w:t>was brought within the corresponding account kept under Part XIII of the Housing Act 1985 for years beginning before 1st April 1990; and</w:t>
      </w:r>
    </w:p>
    <w:p w14:paraId="7CF896F1" w14:textId="77777777" w:rsidR="002C6903" w:rsidRPr="002C6903" w:rsidRDefault="002C6903" w:rsidP="002C6903">
      <w:pPr>
        <w:pStyle w:val="legclearfix"/>
        <w:shd w:val="clear" w:color="auto" w:fill="FFFFFF"/>
        <w:spacing w:before="0" w:beforeAutospacing="0" w:after="120" w:afterAutospacing="0" w:line="360" w:lineRule="atLeast"/>
        <w:ind w:left="720"/>
        <w:jc w:val="both"/>
        <w:rPr>
          <w:rFonts w:ascii="Arial" w:hAnsi="Arial" w:cs="Arial"/>
          <w:color w:val="000000"/>
        </w:rPr>
      </w:pPr>
      <w:r w:rsidRPr="002C6903">
        <w:rPr>
          <w:rStyle w:val="legds"/>
          <w:rFonts w:ascii="Arial" w:eastAsiaTheme="majorEastAsia" w:hAnsi="Arial" w:cs="Arial"/>
          <w:color w:val="000000"/>
        </w:rPr>
        <w:t xml:space="preserve">(f) such land, </w:t>
      </w:r>
      <w:proofErr w:type="gramStart"/>
      <w:r w:rsidRPr="002C6903">
        <w:rPr>
          <w:rStyle w:val="legds"/>
          <w:rFonts w:ascii="Arial" w:eastAsiaTheme="majorEastAsia" w:hAnsi="Arial" w:cs="Arial"/>
          <w:color w:val="000000"/>
        </w:rPr>
        <w:t>houses</w:t>
      </w:r>
      <w:proofErr w:type="gramEnd"/>
      <w:r w:rsidRPr="002C6903">
        <w:rPr>
          <w:rStyle w:val="legds"/>
          <w:rFonts w:ascii="Arial" w:eastAsiaTheme="majorEastAsia" w:hAnsi="Arial" w:cs="Arial"/>
          <w:color w:val="000000"/>
        </w:rPr>
        <w:t xml:space="preserve"> or other buildings not within the preceding paragraphs as the Secretary of State may direct.</w:t>
      </w:r>
    </w:p>
    <w:p w14:paraId="67C38BCB" w14:textId="77777777" w:rsidR="002C6903" w:rsidRPr="002C6903" w:rsidRDefault="002C6903" w:rsidP="002C6903">
      <w:pPr>
        <w:pStyle w:val="legclearfix"/>
        <w:shd w:val="clear" w:color="auto" w:fill="FFFFFF"/>
        <w:spacing w:before="0" w:beforeAutospacing="0" w:after="120" w:afterAutospacing="0" w:line="360" w:lineRule="atLeast"/>
        <w:jc w:val="both"/>
        <w:rPr>
          <w:rFonts w:ascii="Arial" w:hAnsi="Arial" w:cs="Arial"/>
          <w:color w:val="000000"/>
        </w:rPr>
      </w:pPr>
      <w:r w:rsidRPr="002C6903">
        <w:rPr>
          <w:rStyle w:val="legds"/>
          <w:rFonts w:ascii="Arial" w:eastAsiaTheme="majorEastAsia" w:hAnsi="Arial" w:cs="Arial"/>
          <w:color w:val="000000"/>
        </w:rPr>
        <w:t>(2) References in subsection (1) above and the other provisions of this Part to provisions of the Housing Act 1985 include, where the context so admits, references to the corresponding provisions of earlier enactments; and the reference in paragraph (b) of that subsection to land acquired for the purposes of Part II of that Act includes—</w:t>
      </w:r>
    </w:p>
    <w:p w14:paraId="53D6C87B" w14:textId="77777777" w:rsidR="002C6903" w:rsidRPr="002C6903" w:rsidRDefault="002C6903" w:rsidP="002C6903">
      <w:pPr>
        <w:pStyle w:val="legclearfix"/>
        <w:shd w:val="clear" w:color="auto" w:fill="FFFFFF"/>
        <w:spacing w:before="0" w:beforeAutospacing="0" w:after="120" w:afterAutospacing="0" w:line="360" w:lineRule="atLeast"/>
        <w:ind w:left="720"/>
        <w:jc w:val="both"/>
        <w:rPr>
          <w:rFonts w:ascii="Arial" w:hAnsi="Arial" w:cs="Arial"/>
          <w:color w:val="000000"/>
        </w:rPr>
      </w:pPr>
      <w:r w:rsidRPr="002C6903">
        <w:rPr>
          <w:rStyle w:val="legds"/>
          <w:rFonts w:ascii="Arial" w:eastAsiaTheme="majorEastAsia" w:hAnsi="Arial" w:cs="Arial"/>
          <w:color w:val="000000"/>
        </w:rPr>
        <w:t xml:space="preserve">(a) land which a local authority </w:t>
      </w:r>
      <w:proofErr w:type="gramStart"/>
      <w:r w:rsidRPr="002C6903">
        <w:rPr>
          <w:rStyle w:val="legds"/>
          <w:rFonts w:ascii="Arial" w:eastAsiaTheme="majorEastAsia" w:hAnsi="Arial" w:cs="Arial"/>
          <w:color w:val="000000"/>
        </w:rPr>
        <w:t>were</w:t>
      </w:r>
      <w:proofErr w:type="gramEnd"/>
      <w:r w:rsidRPr="002C6903">
        <w:rPr>
          <w:rStyle w:val="legds"/>
          <w:rFonts w:ascii="Arial" w:eastAsiaTheme="majorEastAsia" w:hAnsi="Arial" w:cs="Arial"/>
          <w:color w:val="000000"/>
        </w:rPr>
        <w:t xml:space="preserve"> deemed to have acquired under Part V of the </w:t>
      </w:r>
      <w:r w:rsidRPr="002C6903">
        <w:rPr>
          <w:rStyle w:val="legmarginnoteref"/>
          <w:rFonts w:ascii="Arial" w:eastAsiaTheme="majorEastAsia" w:hAnsi="Arial" w:cs="Arial"/>
        </w:rPr>
        <w:t>[1957 c. 56.] </w:t>
      </w:r>
      <w:r w:rsidRPr="002C6903">
        <w:rPr>
          <w:rStyle w:val="legds"/>
          <w:rFonts w:ascii="Arial" w:eastAsiaTheme="majorEastAsia" w:hAnsi="Arial" w:cs="Arial"/>
          <w:color w:val="000000"/>
        </w:rPr>
        <w:t>Housing Act 1957 by virtue of section 57(6) of that Act (land acquired for re-development in pursuance of re-development plan) before the repeal of that section on 25th August 1969; and</w:t>
      </w:r>
    </w:p>
    <w:p w14:paraId="71D5F970" w14:textId="77777777" w:rsidR="002C6903" w:rsidRPr="002C6903" w:rsidRDefault="002C6903" w:rsidP="002C6903">
      <w:pPr>
        <w:pStyle w:val="legclearfix"/>
        <w:shd w:val="clear" w:color="auto" w:fill="FFFFFF"/>
        <w:spacing w:before="0" w:beforeAutospacing="0" w:after="120" w:afterAutospacing="0" w:line="360" w:lineRule="atLeast"/>
        <w:ind w:left="720"/>
        <w:jc w:val="both"/>
        <w:rPr>
          <w:rFonts w:ascii="Arial" w:hAnsi="Arial" w:cs="Arial"/>
          <w:color w:val="000000"/>
        </w:rPr>
      </w:pPr>
      <w:r w:rsidRPr="002C6903">
        <w:rPr>
          <w:rStyle w:val="legds"/>
          <w:rFonts w:ascii="Arial" w:eastAsiaTheme="majorEastAsia" w:hAnsi="Arial" w:cs="Arial"/>
          <w:color w:val="000000"/>
        </w:rPr>
        <w:t>(b) any structures on such land which were made available to a local authority under section 1 of the </w:t>
      </w:r>
      <w:r w:rsidRPr="002C6903">
        <w:rPr>
          <w:rStyle w:val="legmarginnoteref"/>
          <w:rFonts w:ascii="Arial" w:eastAsiaTheme="majorEastAsia" w:hAnsi="Arial" w:cs="Arial"/>
        </w:rPr>
        <w:t>[1944 c. 36.] </w:t>
      </w:r>
      <w:r w:rsidRPr="002C6903">
        <w:rPr>
          <w:rStyle w:val="legds"/>
          <w:rFonts w:ascii="Arial" w:eastAsiaTheme="majorEastAsia" w:hAnsi="Arial" w:cs="Arial"/>
          <w:color w:val="000000"/>
        </w:rPr>
        <w:t>Housing (Temporary Accommodation) Act 1944 (prefabs).</w:t>
      </w:r>
    </w:p>
    <w:p w14:paraId="38CF26F6" w14:textId="77777777" w:rsidR="002C6903" w:rsidRPr="002C6903" w:rsidRDefault="002C6903" w:rsidP="002C6903">
      <w:pPr>
        <w:pStyle w:val="legclearfix"/>
        <w:shd w:val="clear" w:color="auto" w:fill="FFFFFF"/>
        <w:spacing w:before="0" w:beforeAutospacing="0" w:after="120" w:afterAutospacing="0" w:line="360" w:lineRule="atLeast"/>
        <w:jc w:val="both"/>
        <w:rPr>
          <w:rFonts w:ascii="Arial" w:hAnsi="Arial" w:cs="Arial"/>
          <w:color w:val="000000"/>
        </w:rPr>
      </w:pPr>
      <w:r w:rsidRPr="002C6903">
        <w:rPr>
          <w:rStyle w:val="legds"/>
          <w:rFonts w:ascii="Arial" w:eastAsiaTheme="majorEastAsia" w:hAnsi="Arial" w:cs="Arial"/>
          <w:color w:val="000000"/>
        </w:rPr>
        <w:t>(3) Paragraphs (a) to (e) of subsection (1) above shall not apply to—</w:t>
      </w:r>
    </w:p>
    <w:p w14:paraId="7E168D25" w14:textId="77777777" w:rsidR="002C6903" w:rsidRPr="002C6903" w:rsidRDefault="002C6903" w:rsidP="002C6903">
      <w:pPr>
        <w:pStyle w:val="legclearfix"/>
        <w:shd w:val="clear" w:color="auto" w:fill="FFFFFF"/>
        <w:spacing w:before="0" w:beforeAutospacing="0" w:after="120" w:afterAutospacing="0" w:line="360" w:lineRule="atLeast"/>
        <w:ind w:left="720"/>
        <w:jc w:val="both"/>
        <w:rPr>
          <w:rFonts w:ascii="Arial" w:hAnsi="Arial" w:cs="Arial"/>
          <w:color w:val="000000"/>
        </w:rPr>
      </w:pPr>
      <w:r w:rsidRPr="002C6903">
        <w:rPr>
          <w:rStyle w:val="legds"/>
          <w:rFonts w:ascii="Arial" w:eastAsiaTheme="majorEastAsia" w:hAnsi="Arial" w:cs="Arial"/>
          <w:color w:val="000000"/>
        </w:rPr>
        <w:t xml:space="preserve">(a) land, houses or other buildings disposed of by the </w:t>
      </w:r>
      <w:proofErr w:type="gramStart"/>
      <w:r w:rsidRPr="002C6903">
        <w:rPr>
          <w:rStyle w:val="legds"/>
          <w:rFonts w:ascii="Arial" w:eastAsiaTheme="majorEastAsia" w:hAnsi="Arial" w:cs="Arial"/>
          <w:color w:val="000000"/>
        </w:rPr>
        <w:t>authority;</w:t>
      </w:r>
      <w:proofErr w:type="gramEnd"/>
    </w:p>
    <w:p w14:paraId="4231C638" w14:textId="77777777" w:rsidR="002C6903" w:rsidRPr="002C6903" w:rsidRDefault="002C6903" w:rsidP="002C6903">
      <w:pPr>
        <w:pStyle w:val="legclearfix"/>
        <w:shd w:val="clear" w:color="auto" w:fill="FFFFFF"/>
        <w:spacing w:before="0" w:beforeAutospacing="0" w:after="120" w:afterAutospacing="0" w:line="360" w:lineRule="atLeast"/>
        <w:ind w:left="720"/>
        <w:jc w:val="both"/>
        <w:rPr>
          <w:rFonts w:ascii="Arial" w:hAnsi="Arial" w:cs="Arial"/>
          <w:color w:val="000000"/>
        </w:rPr>
      </w:pPr>
      <w:r w:rsidRPr="002C6903">
        <w:rPr>
          <w:rStyle w:val="legds"/>
          <w:rFonts w:ascii="Arial" w:eastAsiaTheme="majorEastAsia" w:hAnsi="Arial" w:cs="Arial"/>
          <w:color w:val="000000"/>
        </w:rPr>
        <w:t xml:space="preserve">(b) land acquired by the authority for the purpose of disposing of houses provided, or to be provided, on the land, or of disposing of the land to a person who intends to provide housing accommodation on </w:t>
      </w:r>
      <w:proofErr w:type="gramStart"/>
      <w:r w:rsidRPr="002C6903">
        <w:rPr>
          <w:rStyle w:val="legds"/>
          <w:rFonts w:ascii="Arial" w:eastAsiaTheme="majorEastAsia" w:hAnsi="Arial" w:cs="Arial"/>
          <w:color w:val="000000"/>
        </w:rPr>
        <w:t>it;</w:t>
      </w:r>
      <w:proofErr w:type="gramEnd"/>
    </w:p>
    <w:p w14:paraId="0A8E1CE7" w14:textId="77777777" w:rsidR="002C6903" w:rsidRPr="002C6903" w:rsidRDefault="002C6903" w:rsidP="002C6903">
      <w:pPr>
        <w:pStyle w:val="legclearfix"/>
        <w:shd w:val="clear" w:color="auto" w:fill="FFFFFF"/>
        <w:spacing w:before="0" w:beforeAutospacing="0" w:after="120" w:afterAutospacing="0" w:line="360" w:lineRule="atLeast"/>
        <w:ind w:left="720"/>
        <w:jc w:val="both"/>
        <w:rPr>
          <w:rFonts w:ascii="Arial" w:hAnsi="Arial" w:cs="Arial"/>
          <w:color w:val="000000"/>
        </w:rPr>
      </w:pPr>
      <w:r w:rsidRPr="002C6903">
        <w:rPr>
          <w:rStyle w:val="legds"/>
          <w:rFonts w:ascii="Arial" w:eastAsiaTheme="majorEastAsia" w:hAnsi="Arial" w:cs="Arial"/>
          <w:color w:val="000000"/>
        </w:rPr>
        <w:t>(c) houses provided by the authority on land so acquired; or</w:t>
      </w:r>
    </w:p>
    <w:p w14:paraId="08F77322" w14:textId="77777777" w:rsidR="002C6903" w:rsidRPr="002C6903" w:rsidRDefault="002C6903" w:rsidP="002C6903">
      <w:pPr>
        <w:pStyle w:val="legclearfix"/>
        <w:shd w:val="clear" w:color="auto" w:fill="FFFFFF"/>
        <w:spacing w:before="0" w:beforeAutospacing="0" w:after="120" w:afterAutospacing="0" w:line="360" w:lineRule="atLeast"/>
        <w:ind w:left="720"/>
        <w:jc w:val="both"/>
        <w:rPr>
          <w:rFonts w:ascii="Arial" w:hAnsi="Arial" w:cs="Arial"/>
          <w:color w:val="000000"/>
        </w:rPr>
      </w:pPr>
      <w:r w:rsidRPr="002C6903">
        <w:rPr>
          <w:rStyle w:val="legds"/>
          <w:rFonts w:ascii="Arial" w:eastAsiaTheme="majorEastAsia" w:hAnsi="Arial" w:cs="Arial"/>
          <w:color w:val="000000"/>
        </w:rPr>
        <w:t xml:space="preserve">(d) such land, houses or other buildings as the Secretary of State may </w:t>
      </w:r>
      <w:proofErr w:type="gramStart"/>
      <w:r w:rsidRPr="002C6903">
        <w:rPr>
          <w:rStyle w:val="legds"/>
          <w:rFonts w:ascii="Arial" w:eastAsiaTheme="majorEastAsia" w:hAnsi="Arial" w:cs="Arial"/>
          <w:color w:val="000000"/>
        </w:rPr>
        <w:t>direct;</w:t>
      </w:r>
      <w:proofErr w:type="gramEnd"/>
    </w:p>
    <w:p w14:paraId="18088F15" w14:textId="77777777" w:rsidR="002C6903" w:rsidRPr="002C6903" w:rsidRDefault="002C6903" w:rsidP="002C6903">
      <w:pPr>
        <w:pStyle w:val="legrhs"/>
        <w:shd w:val="clear" w:color="auto" w:fill="FFFFFF"/>
        <w:spacing w:before="0" w:beforeAutospacing="0" w:after="120" w:afterAutospacing="0" w:line="360" w:lineRule="atLeast"/>
        <w:jc w:val="both"/>
        <w:rPr>
          <w:rFonts w:ascii="Arial" w:hAnsi="Arial" w:cs="Arial"/>
          <w:color w:val="000000"/>
        </w:rPr>
      </w:pPr>
      <w:r w:rsidRPr="002C6903">
        <w:rPr>
          <w:rFonts w:ascii="Arial" w:hAnsi="Arial" w:cs="Arial"/>
          <w:color w:val="000000"/>
        </w:rPr>
        <w:t>and paragraph (a) of that subsection shall not apply to houses and other buildings provided on or before 6th February 1919.</w:t>
      </w:r>
    </w:p>
    <w:p w14:paraId="1B65E728" w14:textId="77777777" w:rsidR="002C6903" w:rsidRPr="002C6903" w:rsidRDefault="002C6903" w:rsidP="002C6903">
      <w:pPr>
        <w:pStyle w:val="legclearfix"/>
        <w:shd w:val="clear" w:color="auto" w:fill="FFFFFF"/>
        <w:spacing w:before="0" w:beforeAutospacing="0" w:after="120" w:afterAutospacing="0" w:line="360" w:lineRule="atLeast"/>
        <w:jc w:val="both"/>
        <w:rPr>
          <w:rFonts w:ascii="Arial" w:hAnsi="Arial" w:cs="Arial"/>
          <w:color w:val="000000"/>
        </w:rPr>
      </w:pPr>
      <w:r w:rsidRPr="002C6903">
        <w:rPr>
          <w:rStyle w:val="legds"/>
          <w:rFonts w:ascii="Arial" w:eastAsiaTheme="majorEastAsia" w:hAnsi="Arial" w:cs="Arial"/>
          <w:color w:val="000000"/>
        </w:rPr>
        <w:t>(4) A local housing authority not possessing property to which subsection (1) above applies shall nevertheless keep a Housing Revenue Account unless the Secretary of State consents to their not doing so and they comply with such conditions (if any) as may be specified in the consent.</w:t>
      </w:r>
    </w:p>
    <w:p w14:paraId="2F61AACC" w14:textId="77777777" w:rsidR="002C6903" w:rsidRPr="002C6903" w:rsidRDefault="002C6903" w:rsidP="002C6903">
      <w:pPr>
        <w:pStyle w:val="legclearfix"/>
        <w:shd w:val="clear" w:color="auto" w:fill="FFFFFF"/>
        <w:spacing w:before="0" w:beforeAutospacing="0" w:after="120" w:afterAutospacing="0" w:line="360" w:lineRule="atLeast"/>
        <w:jc w:val="both"/>
        <w:rPr>
          <w:rFonts w:ascii="Arial" w:hAnsi="Arial" w:cs="Arial"/>
          <w:color w:val="000000"/>
        </w:rPr>
      </w:pPr>
      <w:r w:rsidRPr="002C6903">
        <w:rPr>
          <w:rStyle w:val="legds"/>
          <w:rFonts w:ascii="Arial" w:eastAsiaTheme="majorEastAsia" w:hAnsi="Arial" w:cs="Arial"/>
          <w:color w:val="000000"/>
        </w:rPr>
        <w:t>(5) In this Part—</w:t>
      </w:r>
    </w:p>
    <w:p w14:paraId="50E20F9A" w14:textId="77777777" w:rsidR="002C6903" w:rsidRPr="002C6903" w:rsidRDefault="002C6903" w:rsidP="002C6903">
      <w:pPr>
        <w:pStyle w:val="legclearfix"/>
        <w:shd w:val="clear" w:color="auto" w:fill="FFFFFF"/>
        <w:spacing w:before="0" w:beforeAutospacing="0" w:after="120" w:afterAutospacing="0" w:line="360" w:lineRule="atLeast"/>
        <w:ind w:left="720"/>
        <w:jc w:val="both"/>
        <w:rPr>
          <w:rFonts w:ascii="Arial" w:hAnsi="Arial" w:cs="Arial"/>
          <w:color w:val="000000"/>
        </w:rPr>
      </w:pPr>
      <w:r w:rsidRPr="002C6903">
        <w:rPr>
          <w:rStyle w:val="legds"/>
          <w:rFonts w:ascii="Arial" w:eastAsiaTheme="majorEastAsia" w:hAnsi="Arial" w:cs="Arial"/>
          <w:color w:val="000000"/>
        </w:rPr>
        <w:t xml:space="preserve">(a) references to the houses or other property of an authority within the authority’s Housing Revenue Account are references to the houses, </w:t>
      </w:r>
      <w:proofErr w:type="gramStart"/>
      <w:r w:rsidRPr="002C6903">
        <w:rPr>
          <w:rStyle w:val="legds"/>
          <w:rFonts w:ascii="Arial" w:eastAsiaTheme="majorEastAsia" w:hAnsi="Arial" w:cs="Arial"/>
          <w:color w:val="000000"/>
        </w:rPr>
        <w:t>dwellings</w:t>
      </w:r>
      <w:proofErr w:type="gramEnd"/>
      <w:r w:rsidRPr="002C6903">
        <w:rPr>
          <w:rStyle w:val="legds"/>
          <w:rFonts w:ascii="Arial" w:eastAsiaTheme="majorEastAsia" w:hAnsi="Arial" w:cs="Arial"/>
          <w:color w:val="000000"/>
        </w:rPr>
        <w:t xml:space="preserve"> or other property to which subsection (1) above for the time being applies; and</w:t>
      </w:r>
    </w:p>
    <w:p w14:paraId="0B7D6954" w14:textId="77777777" w:rsidR="002C6903" w:rsidRPr="002C6903" w:rsidRDefault="002C6903" w:rsidP="002C6903">
      <w:pPr>
        <w:pStyle w:val="legclearfix"/>
        <w:shd w:val="clear" w:color="auto" w:fill="FFFFFF"/>
        <w:spacing w:before="0" w:beforeAutospacing="0" w:after="120" w:afterAutospacing="0" w:line="360" w:lineRule="atLeast"/>
        <w:ind w:left="720"/>
        <w:jc w:val="both"/>
        <w:rPr>
          <w:rFonts w:ascii="Arial" w:hAnsi="Arial" w:cs="Arial"/>
          <w:color w:val="000000"/>
        </w:rPr>
      </w:pPr>
      <w:r w:rsidRPr="002C6903">
        <w:rPr>
          <w:rStyle w:val="legds"/>
          <w:rFonts w:ascii="Arial" w:eastAsiaTheme="majorEastAsia" w:hAnsi="Arial" w:cs="Arial"/>
          <w:color w:val="000000"/>
        </w:rPr>
        <w:lastRenderedPageBreak/>
        <w:t>(b) references (however expressed) to a disposal are references to a conveyance of the freehold, or a grant or assignment of a lease (other than a shared ownership lease) which is a long tenancy within the meaning given by section 115 of the </w:t>
      </w:r>
      <w:r w:rsidRPr="002C6903">
        <w:rPr>
          <w:rStyle w:val="legmarginnoteref"/>
          <w:rFonts w:ascii="Arial" w:eastAsiaTheme="majorEastAsia" w:hAnsi="Arial" w:cs="Arial"/>
        </w:rPr>
        <w:t>[1985 c. 68.] </w:t>
      </w:r>
      <w:r w:rsidRPr="002C6903">
        <w:rPr>
          <w:rStyle w:val="legds"/>
          <w:rFonts w:ascii="Arial" w:eastAsiaTheme="majorEastAsia" w:hAnsi="Arial" w:cs="Arial"/>
          <w:color w:val="000000"/>
        </w:rPr>
        <w:t>Housing Act 1985.</w:t>
      </w:r>
    </w:p>
    <w:p w14:paraId="653E81F2" w14:textId="2F19B384" w:rsidR="002C6903" w:rsidRPr="002C6903" w:rsidRDefault="002C6903" w:rsidP="002C6903">
      <w:pPr>
        <w:pStyle w:val="legclearfix"/>
        <w:shd w:val="clear" w:color="auto" w:fill="FFFFFF"/>
        <w:spacing w:before="0" w:beforeAutospacing="0" w:after="120" w:afterAutospacing="0" w:line="360" w:lineRule="atLeast"/>
        <w:jc w:val="both"/>
        <w:rPr>
          <w:rFonts w:ascii="Arial" w:hAnsi="Arial" w:cs="Arial"/>
          <w:color w:val="000000"/>
        </w:rPr>
      </w:pPr>
      <w:r w:rsidRPr="002C6903">
        <w:rPr>
          <w:rStyle w:val="legds"/>
          <w:rFonts w:ascii="Arial" w:eastAsiaTheme="majorEastAsia" w:hAnsi="Arial" w:cs="Arial"/>
          <w:color w:val="000000"/>
        </w:rPr>
        <w:t>(</w:t>
      </w:r>
      <w:proofErr w:type="gramStart"/>
      <w:r w:rsidRPr="002C6903">
        <w:rPr>
          <w:rStyle w:val="legds"/>
          <w:rFonts w:ascii="Arial" w:eastAsiaTheme="majorEastAsia" w:hAnsi="Arial" w:cs="Arial"/>
          <w:color w:val="000000"/>
        </w:rPr>
        <w:t>6)Sections</w:t>
      </w:r>
      <w:proofErr w:type="gramEnd"/>
      <w:r w:rsidRPr="002C6903">
        <w:rPr>
          <w:rStyle w:val="legds"/>
          <w:rFonts w:ascii="Arial" w:eastAsiaTheme="majorEastAsia" w:hAnsi="Arial" w:cs="Arial"/>
          <w:color w:val="000000"/>
        </w:rPr>
        <w:t xml:space="preserve"> 417 to 420 of, and Schedule 14 to, the Housing Act 1985 (which are superseded by this section, sections 75 to 78 below and Schedule 4 to this Act) shall cease to have effect</w:t>
      </w:r>
      <w:r w:rsidR="00597AD6">
        <w:rPr>
          <w:rStyle w:val="legds"/>
          <w:rFonts w:ascii="Arial" w:eastAsiaTheme="majorEastAsia" w:hAnsi="Arial" w:cs="Arial"/>
          <w:color w:val="000000"/>
        </w:rPr>
        <w:t>.</w:t>
      </w:r>
    </w:p>
    <w:p w14:paraId="68F0055F" w14:textId="77777777" w:rsidR="002C6903" w:rsidRPr="002C6903" w:rsidRDefault="002C6903" w:rsidP="0093067A">
      <w:pPr>
        <w:rPr>
          <w:rFonts w:cs="Arial"/>
          <w:b/>
          <w:bCs/>
        </w:rPr>
      </w:pPr>
    </w:p>
    <w:sectPr w:rsidR="002C6903" w:rsidRPr="002C6903" w:rsidSect="00B558E1">
      <w:footerReference w:type="even" r:id="rId12"/>
      <w:headerReference w:type="first" r:id="rId13"/>
      <w:footerReference w:type="first" r:id="rId14"/>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0E097" w14:textId="77777777" w:rsidR="00FA026E" w:rsidRDefault="00FA026E" w:rsidP="004A6D2F">
      <w:r>
        <w:separator/>
      </w:r>
    </w:p>
  </w:endnote>
  <w:endnote w:type="continuationSeparator" w:id="0">
    <w:p w14:paraId="300E46A3" w14:textId="77777777" w:rsidR="00FA026E" w:rsidRDefault="00FA026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1048" w14:textId="77777777" w:rsidR="00364FAD" w:rsidRDefault="00364FAD" w:rsidP="004A6D2F">
    <w:pPr>
      <w:pStyle w:val="Footer"/>
    </w:pPr>
    <w:r>
      <w:t>Do not use a footer or page numbers.</w:t>
    </w:r>
  </w:p>
  <w:p w14:paraId="2A5790B2" w14:textId="77777777" w:rsidR="00364FAD" w:rsidRDefault="00364FAD" w:rsidP="004A6D2F">
    <w:pPr>
      <w:pStyle w:val="Footer"/>
    </w:pPr>
  </w:p>
  <w:p w14:paraId="7C56BDEC"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37C4"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43873" w14:textId="77777777" w:rsidR="00FA026E" w:rsidRDefault="00FA026E" w:rsidP="004A6D2F">
      <w:r>
        <w:separator/>
      </w:r>
    </w:p>
  </w:footnote>
  <w:footnote w:type="continuationSeparator" w:id="0">
    <w:p w14:paraId="7ED37BDA" w14:textId="77777777" w:rsidR="00FA026E" w:rsidRDefault="00FA026E"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892C" w14:textId="77777777" w:rsidR="00D5547E" w:rsidRDefault="00DD2FED" w:rsidP="00D5547E">
    <w:pPr>
      <w:pStyle w:val="Header"/>
      <w:jc w:val="right"/>
    </w:pPr>
    <w:r>
      <w:rPr>
        <w:noProof/>
      </w:rPr>
      <w:drawing>
        <wp:inline distT="0" distB="0" distL="0" distR="0" wp14:anchorId="27788C06" wp14:editId="56A09653">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104898"/>
    <w:multiLevelType w:val="hybridMultilevel"/>
    <w:tmpl w:val="8A6AA6D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A5FD8"/>
    <w:multiLevelType w:val="multilevel"/>
    <w:tmpl w:val="43D6D2FA"/>
    <w:numStyleLink w:val="StyleBulletedSymbolsymbolLeft063cmHanging063cm"/>
  </w:abstractNum>
  <w:abstractNum w:abstractNumId="2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98365C6"/>
    <w:multiLevelType w:val="multilevel"/>
    <w:tmpl w:val="E67CE66C"/>
    <w:numStyleLink w:val="StyleNumberedLeft0cmHanging075cm"/>
  </w:abstractNum>
  <w:abstractNum w:abstractNumId="34" w15:restartNumberingAfterBreak="0">
    <w:nsid w:val="7C325956"/>
    <w:multiLevelType w:val="hybridMultilevel"/>
    <w:tmpl w:val="26143B4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1617367145">
    <w:abstractNumId w:val="26"/>
  </w:num>
  <w:num w:numId="2" w16cid:durableId="1592083289">
    <w:abstractNumId w:val="31"/>
  </w:num>
  <w:num w:numId="3" w16cid:durableId="1504857769">
    <w:abstractNumId w:val="23"/>
  </w:num>
  <w:num w:numId="4" w16cid:durableId="51541213">
    <w:abstractNumId w:val="18"/>
  </w:num>
  <w:num w:numId="5" w16cid:durableId="1946108170">
    <w:abstractNumId w:val="28"/>
  </w:num>
  <w:num w:numId="6" w16cid:durableId="552231952">
    <w:abstractNumId w:val="32"/>
  </w:num>
  <w:num w:numId="7" w16cid:durableId="201790788">
    <w:abstractNumId w:val="22"/>
  </w:num>
  <w:num w:numId="8" w16cid:durableId="2041469575">
    <w:abstractNumId w:val="20"/>
  </w:num>
  <w:num w:numId="9" w16cid:durableId="186212968">
    <w:abstractNumId w:val="13"/>
  </w:num>
  <w:num w:numId="10" w16cid:durableId="1450585627">
    <w:abstractNumId w:val="15"/>
  </w:num>
  <w:num w:numId="11" w16cid:durableId="1353070856">
    <w:abstractNumId w:val="25"/>
  </w:num>
  <w:num w:numId="12" w16cid:durableId="27949633">
    <w:abstractNumId w:val="24"/>
  </w:num>
  <w:num w:numId="13" w16cid:durableId="1773353027">
    <w:abstractNumId w:val="10"/>
  </w:num>
  <w:num w:numId="14" w16cid:durableId="445083311">
    <w:abstractNumId w:val="33"/>
  </w:num>
  <w:num w:numId="15" w16cid:durableId="1147279946">
    <w:abstractNumId w:val="16"/>
  </w:num>
  <w:num w:numId="16" w16cid:durableId="1137067197">
    <w:abstractNumId w:val="11"/>
  </w:num>
  <w:num w:numId="17" w16cid:durableId="996883679">
    <w:abstractNumId w:val="27"/>
  </w:num>
  <w:num w:numId="18" w16cid:durableId="1112700321">
    <w:abstractNumId w:val="12"/>
  </w:num>
  <w:num w:numId="19" w16cid:durableId="1568684758">
    <w:abstractNumId w:val="29"/>
  </w:num>
  <w:num w:numId="20" w16cid:durableId="133839688">
    <w:abstractNumId w:val="17"/>
  </w:num>
  <w:num w:numId="21" w16cid:durableId="802236713">
    <w:abstractNumId w:val="21"/>
  </w:num>
  <w:num w:numId="22" w16cid:durableId="2108964769">
    <w:abstractNumId w:val="14"/>
  </w:num>
  <w:num w:numId="23" w16cid:durableId="847987924">
    <w:abstractNumId w:val="30"/>
  </w:num>
  <w:num w:numId="24" w16cid:durableId="1602450915">
    <w:abstractNumId w:val="9"/>
  </w:num>
  <w:num w:numId="25" w16cid:durableId="1888099332">
    <w:abstractNumId w:val="8"/>
  </w:num>
  <w:num w:numId="26" w16cid:durableId="1428580348">
    <w:abstractNumId w:val="7"/>
  </w:num>
  <w:num w:numId="27" w16cid:durableId="931547623">
    <w:abstractNumId w:val="6"/>
  </w:num>
  <w:num w:numId="28" w16cid:durableId="847066100">
    <w:abstractNumId w:val="5"/>
  </w:num>
  <w:num w:numId="29" w16cid:durableId="2140799484">
    <w:abstractNumId w:val="4"/>
  </w:num>
  <w:num w:numId="30" w16cid:durableId="19596173">
    <w:abstractNumId w:val="3"/>
  </w:num>
  <w:num w:numId="31" w16cid:durableId="431390681">
    <w:abstractNumId w:val="2"/>
  </w:num>
  <w:num w:numId="32" w16cid:durableId="615254126">
    <w:abstractNumId w:val="1"/>
  </w:num>
  <w:num w:numId="33" w16cid:durableId="1766924920">
    <w:abstractNumId w:val="0"/>
  </w:num>
  <w:num w:numId="34" w16cid:durableId="1511724483">
    <w:abstractNumId w:val="19"/>
  </w:num>
  <w:num w:numId="35" w16cid:durableId="429084890">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92"/>
    <w:rsid w:val="000117D4"/>
    <w:rsid w:val="000244DE"/>
    <w:rsid w:val="00045F8B"/>
    <w:rsid w:val="00046D2B"/>
    <w:rsid w:val="00056263"/>
    <w:rsid w:val="00064D8A"/>
    <w:rsid w:val="00064F82"/>
    <w:rsid w:val="00066510"/>
    <w:rsid w:val="00077523"/>
    <w:rsid w:val="000C089F"/>
    <w:rsid w:val="000C3928"/>
    <w:rsid w:val="000C5E8E"/>
    <w:rsid w:val="000D542A"/>
    <w:rsid w:val="000D604A"/>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3376"/>
    <w:rsid w:val="002069B3"/>
    <w:rsid w:val="002329CF"/>
    <w:rsid w:val="00232F5B"/>
    <w:rsid w:val="00247C29"/>
    <w:rsid w:val="00251E02"/>
    <w:rsid w:val="00260467"/>
    <w:rsid w:val="00263EA3"/>
    <w:rsid w:val="00284F85"/>
    <w:rsid w:val="00290915"/>
    <w:rsid w:val="002A22E2"/>
    <w:rsid w:val="002C64F7"/>
    <w:rsid w:val="002C6903"/>
    <w:rsid w:val="002F41F2"/>
    <w:rsid w:val="00301BF3"/>
    <w:rsid w:val="0030208D"/>
    <w:rsid w:val="00323418"/>
    <w:rsid w:val="003357BF"/>
    <w:rsid w:val="00364FAD"/>
    <w:rsid w:val="0036738F"/>
    <w:rsid w:val="0036759C"/>
    <w:rsid w:val="00367AE5"/>
    <w:rsid w:val="00367D71"/>
    <w:rsid w:val="0038150A"/>
    <w:rsid w:val="003B6365"/>
    <w:rsid w:val="003B6E75"/>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9122F"/>
    <w:rsid w:val="00496FAD"/>
    <w:rsid w:val="004A2AC7"/>
    <w:rsid w:val="004A502A"/>
    <w:rsid w:val="004A5337"/>
    <w:rsid w:val="004A6D2F"/>
    <w:rsid w:val="004B348B"/>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97AD6"/>
    <w:rsid w:val="005A2220"/>
    <w:rsid w:val="005A34E4"/>
    <w:rsid w:val="005B17F2"/>
    <w:rsid w:val="005B7FB0"/>
    <w:rsid w:val="005C35A5"/>
    <w:rsid w:val="005C577C"/>
    <w:rsid w:val="005D0621"/>
    <w:rsid w:val="005D1E27"/>
    <w:rsid w:val="005E022E"/>
    <w:rsid w:val="005E5215"/>
    <w:rsid w:val="005F7F7E"/>
    <w:rsid w:val="00614693"/>
    <w:rsid w:val="00623C2F"/>
    <w:rsid w:val="00632A88"/>
    <w:rsid w:val="00633578"/>
    <w:rsid w:val="00637068"/>
    <w:rsid w:val="00650811"/>
    <w:rsid w:val="00661D3E"/>
    <w:rsid w:val="00692627"/>
    <w:rsid w:val="006969E7"/>
    <w:rsid w:val="006A3643"/>
    <w:rsid w:val="006C2A29"/>
    <w:rsid w:val="006C64CF"/>
    <w:rsid w:val="006D17B1"/>
    <w:rsid w:val="006D708A"/>
    <w:rsid w:val="006E14C1"/>
    <w:rsid w:val="006F0292"/>
    <w:rsid w:val="006F416B"/>
    <w:rsid w:val="006F519B"/>
    <w:rsid w:val="00713675"/>
    <w:rsid w:val="00715823"/>
    <w:rsid w:val="00737B93"/>
    <w:rsid w:val="00745BF0"/>
    <w:rsid w:val="007615FE"/>
    <w:rsid w:val="0076655C"/>
    <w:rsid w:val="007742DC"/>
    <w:rsid w:val="00791437"/>
    <w:rsid w:val="007B0C2C"/>
    <w:rsid w:val="007B278E"/>
    <w:rsid w:val="007C1201"/>
    <w:rsid w:val="007C4813"/>
    <w:rsid w:val="007C5C23"/>
    <w:rsid w:val="007E2A26"/>
    <w:rsid w:val="007F2348"/>
    <w:rsid w:val="00803F07"/>
    <w:rsid w:val="0080749A"/>
    <w:rsid w:val="00821AAF"/>
    <w:rsid w:val="00821FB8"/>
    <w:rsid w:val="00822ACD"/>
    <w:rsid w:val="00855C66"/>
    <w:rsid w:val="00871EE4"/>
    <w:rsid w:val="008B293F"/>
    <w:rsid w:val="008B7371"/>
    <w:rsid w:val="008D3DDB"/>
    <w:rsid w:val="008F573F"/>
    <w:rsid w:val="009034EC"/>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4635"/>
    <w:rsid w:val="00A46E98"/>
    <w:rsid w:val="00A6352B"/>
    <w:rsid w:val="00A701B5"/>
    <w:rsid w:val="00A714BB"/>
    <w:rsid w:val="00A92D8F"/>
    <w:rsid w:val="00AB2988"/>
    <w:rsid w:val="00AB7999"/>
    <w:rsid w:val="00AC13BE"/>
    <w:rsid w:val="00AD3292"/>
    <w:rsid w:val="00AE7AF0"/>
    <w:rsid w:val="00B500CA"/>
    <w:rsid w:val="00B558E1"/>
    <w:rsid w:val="00B7799F"/>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2F68"/>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6683E"/>
    <w:rsid w:val="00D90A28"/>
    <w:rsid w:val="00DA413F"/>
    <w:rsid w:val="00DA4584"/>
    <w:rsid w:val="00DA614B"/>
    <w:rsid w:val="00DC3060"/>
    <w:rsid w:val="00DD2FED"/>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13EC"/>
    <w:rsid w:val="00F95BC9"/>
    <w:rsid w:val="00FA026E"/>
    <w:rsid w:val="00FA624C"/>
    <w:rsid w:val="00FB488D"/>
    <w:rsid w:val="00FD0FAC"/>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F24E1C"/>
  <w15:docId w15:val="{72235887-E94F-430F-A8BC-35B1E5E1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4">
    <w:name w:val="heading 4"/>
    <w:basedOn w:val="Normal"/>
    <w:next w:val="Normal"/>
    <w:link w:val="Heading4Char"/>
    <w:uiPriority w:val="9"/>
    <w:semiHidden/>
    <w:unhideWhenUsed/>
    <w:qFormat/>
    <w:rsid w:val="002C6903"/>
    <w:pPr>
      <w:keepNext/>
      <w:keepLines/>
      <w:spacing w:before="40" w:after="0" w:line="259"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UnresolvedMention">
    <w:name w:val="Unresolved Mention"/>
    <w:basedOn w:val="DefaultParagraphFont"/>
    <w:uiPriority w:val="99"/>
    <w:semiHidden/>
    <w:unhideWhenUsed/>
    <w:rsid w:val="002C6903"/>
    <w:rPr>
      <w:color w:val="605E5C"/>
      <w:shd w:val="clear" w:color="auto" w:fill="E1DFDD"/>
    </w:rPr>
  </w:style>
  <w:style w:type="character" w:customStyle="1" w:styleId="Heading4Char">
    <w:name w:val="Heading 4 Char"/>
    <w:basedOn w:val="DefaultParagraphFont"/>
    <w:link w:val="Heading4"/>
    <w:uiPriority w:val="9"/>
    <w:semiHidden/>
    <w:rsid w:val="002C6903"/>
    <w:rPr>
      <w:rFonts w:asciiTheme="majorHAnsi" w:eastAsiaTheme="majorEastAsia" w:hAnsiTheme="majorHAnsi" w:cstheme="majorBidi"/>
      <w:i/>
      <w:iCs/>
      <w:color w:val="365F91" w:themeColor="accent1" w:themeShade="BF"/>
      <w:sz w:val="22"/>
      <w:szCs w:val="22"/>
      <w:lang w:eastAsia="en-US"/>
    </w:rPr>
  </w:style>
  <w:style w:type="character" w:customStyle="1" w:styleId="legds">
    <w:name w:val="legds"/>
    <w:basedOn w:val="DefaultParagraphFont"/>
    <w:rsid w:val="002C6903"/>
  </w:style>
  <w:style w:type="paragraph" w:customStyle="1" w:styleId="legclearfix">
    <w:name w:val="legclearfix"/>
    <w:basedOn w:val="Normal"/>
    <w:rsid w:val="002C6903"/>
    <w:pPr>
      <w:spacing w:before="100" w:beforeAutospacing="1" w:after="100" w:afterAutospacing="1"/>
    </w:pPr>
    <w:rPr>
      <w:rFonts w:ascii="Times New Roman" w:hAnsi="Times New Roman"/>
      <w:color w:val="auto"/>
    </w:rPr>
  </w:style>
  <w:style w:type="character" w:customStyle="1" w:styleId="legmarginnoteref">
    <w:name w:val="legmarginnoteref"/>
    <w:basedOn w:val="DefaultParagraphFont"/>
    <w:rsid w:val="002C6903"/>
  </w:style>
  <w:style w:type="paragraph" w:customStyle="1" w:styleId="legrhs">
    <w:name w:val="legrhs"/>
    <w:basedOn w:val="Normal"/>
    <w:rsid w:val="002C6903"/>
    <w:pPr>
      <w:spacing w:before="100" w:beforeAutospacing="1" w:after="100" w:afterAutospacing="1"/>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jones@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12" ma:contentTypeDescription="Create a new document." ma:contentTypeScope="" ma:versionID="568d0cbb6f0b2b616a19d727d9970e2f">
  <xsd:schema xmlns:xsd="http://www.w3.org/2001/XMLSchema" xmlns:xs="http://www.w3.org/2001/XMLSchema" xmlns:p="http://schemas.microsoft.com/office/2006/metadata/properties" xmlns:ns2="fdb8f1d2-729e-4e17-b922-d1876d49c6d9" xmlns:ns3="ca0c6f25-960b-4ad0-86ba-4742c0ecca1e" targetNamespace="http://schemas.microsoft.com/office/2006/metadata/properties" ma:root="true" ma:fieldsID="0e0059c2c4a6cf6912f09ee4e3ca476b" ns2:_="" ns3:_="">
    <xsd:import namespace="fdb8f1d2-729e-4e17-b922-d1876d49c6d9"/>
    <xsd:import namespace="ca0c6f25-960b-4ad0-86ba-4742c0ecc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0c6f25-960b-4ad0-86ba-4742c0ecc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2.xml><?xml version="1.0" encoding="utf-8"?>
<ds:datastoreItem xmlns:ds="http://schemas.openxmlformats.org/officeDocument/2006/customXml" ds:itemID="{F99A6B5D-C5FD-4658-A568-2D840A428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ca0c6f25-960b-4ad0-86ba-4742c0ecc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D755B-781C-49F0-925A-074BA5E55C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1ED3A9-6BDF-4C87-8DB3-375CA62C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1738</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COURTNEY Alice</cp:lastModifiedBy>
  <cp:revision>4</cp:revision>
  <cp:lastPrinted>2015-07-03T12:50:00Z</cp:lastPrinted>
  <dcterms:created xsi:type="dcterms:W3CDTF">2023-11-28T13:10:00Z</dcterms:created>
  <dcterms:modified xsi:type="dcterms:W3CDTF">2023-11-28T13:21:00Z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